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rPr>
          <w:b/>
          <w:bCs/>
        </w:rPr>
      </w:pPr>
      <w:r>
        <w:rPr>
          <w:b/>
          <w:szCs w:val="28"/>
        </w:rPr>
        <w:t xml:space="preserve">ПРОТОК</w:t>
      </w:r>
      <w:r>
        <w:rPr>
          <w:b/>
          <w:szCs w:val="28"/>
          <w:highlight w:val="white"/>
        </w:rPr>
        <w:t xml:space="preserve">ОЛ № </w:t>
      </w:r>
      <w:r>
        <w:rPr>
          <w:b/>
          <w:szCs w:val="28"/>
        </w:rPr>
        <w:t xml:space="preserve">8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rPr>
          <w:b/>
          <w:szCs w:val="28"/>
        </w:rPr>
      </w:pPr>
      <w:r>
        <w:rPr>
          <w:b/>
          <w:szCs w:val="28"/>
        </w:rPr>
        <w:t xml:space="preserve">заседания коллегии министерства образования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05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05"/>
        <w:ind w:left="708" w:hanging="708"/>
        <w:jc w:val="both"/>
        <w:rPr>
          <w:szCs w:val="28"/>
        </w:rPr>
      </w:pPr>
      <w:r>
        <w:rPr>
          <w:szCs w:val="28"/>
        </w:rPr>
        <w:t xml:space="preserve">3 октября 2024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10-00</w:t>
      </w:r>
      <w:r>
        <w:rPr>
          <w:szCs w:val="28"/>
        </w:rPr>
      </w:r>
      <w:r>
        <w:rPr>
          <w:szCs w:val="28"/>
        </w:rPr>
      </w:r>
    </w:p>
    <w:p>
      <w:pPr>
        <w:pStyle w:val="905"/>
        <w:ind w:left="5664"/>
        <w:jc w:val="both"/>
        <w:rPr>
          <w:szCs w:val="28"/>
        </w:rPr>
      </w:pPr>
      <w:r>
        <w:rPr>
          <w:szCs w:val="28"/>
        </w:rPr>
        <w:t xml:space="preserve">        Большой зал 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905"/>
        <w:ind w:left="708" w:hanging="708"/>
        <w:jc w:val="both"/>
        <w:rPr>
          <w:b/>
          <w:i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Новосибирской области</w:t>
      </w:r>
      <w:r>
        <w:rPr>
          <w:b/>
          <w:i/>
          <w:szCs w:val="28"/>
        </w:rPr>
      </w:r>
      <w:r>
        <w:rPr>
          <w:b/>
          <w:i/>
          <w:szCs w:val="28"/>
        </w:rPr>
      </w:r>
    </w:p>
    <w:p>
      <w:pPr>
        <w:pStyle w:val="905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rPr>
          <w:b/>
          <w:bCs/>
        </w:rPr>
      </w:pPr>
      <w:r>
        <w:rPr>
          <w:b/>
          <w:szCs w:val="28"/>
        </w:rPr>
        <w:t xml:space="preserve">ПОВЕСТКА 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3"/>
          <w:numId w:val="1"/>
        </w:numPr>
        <w:ind w:left="142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Об итогах государственной итоговой аттестации в Новосибирской области в 2024 году.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ind w:left="709"/>
        <w:jc w:val="both"/>
        <w:spacing w:after="240" w:line="240" w:lineRule="auto"/>
        <w:tabs>
          <w:tab w:val="left" w:pos="993" w:leader="none"/>
        </w:tabs>
        <w:rPr>
          <w:rFonts w:ascii="Times New Roman" w:hAnsi="Times New Roman"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i/>
          <w:sz w:val="28"/>
          <w:szCs w:val="28"/>
          <w:highlight w:val="white"/>
        </w:rPr>
        <w:t xml:space="preserve">Докладчик: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Ярославцева Наталья Васильевна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, директор государственного казённого учреждения Новосибирской области «Новосибирский институт мониторинга и развития образования», кандидат педагогических наук, заслуженный учитель РФ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numPr>
          <w:ilvl w:val="3"/>
          <w:numId w:val="1"/>
        </w:numPr>
        <w:ind w:left="142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О Пилотном проекте «Формирование системы образовательного маршрута детей и молодежи с инвалидностью и ограниченными возможностями здоровья для получения высшего образования и дальнейшего трудоустройства»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ind w:left="72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i/>
          <w:sz w:val="28"/>
          <w:szCs w:val="28"/>
          <w:highlight w:val="white"/>
        </w:rPr>
        <w:t xml:space="preserve">Докладчик: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Малина Светлана Сергеевна, начальник управления профессионального образования и высшей школы министерства образования Новосибирской области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ind w:left="720"/>
        <w:jc w:val="both"/>
        <w:spacing w:after="0" w:line="256" w:lineRule="auto"/>
        <w:widowControl w:val="off"/>
        <w:rPr>
          <w:rFonts w:ascii="Times New Roman" w:hAnsi="Times New Roman" w:eastAsia="Times New Roman"/>
          <w:i/>
          <w:color w:val="000000"/>
          <w:sz w:val="28"/>
          <w:szCs w:val="28"/>
          <w:highlight w:val="white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Выступления: </w:t>
      </w:r>
      <w:r>
        <w:rPr>
          <w:rFonts w:ascii="Times New Roman" w:hAnsi="Times New Roman" w:eastAsia="Times New Roman"/>
          <w:i/>
          <w:color w:val="000000"/>
          <w:sz w:val="28"/>
          <w:szCs w:val="28"/>
          <w:highlight w:val="white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i/>
          <w:color w:val="000000"/>
          <w:sz w:val="28"/>
          <w:szCs w:val="28"/>
          <w:highlight w:val="white"/>
          <w:shd w:val="clear" w:color="auto" w:fill="ffffff"/>
          <w:lang w:eastAsia="ru-RU"/>
        </w:rPr>
      </w:r>
    </w:p>
    <w:p>
      <w:pPr>
        <w:ind w:left="708" w:firstLine="708"/>
        <w:jc w:val="both"/>
        <w:spacing w:after="0" w:line="256" w:lineRule="auto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Самуйленко Светлана Васильевна, директор государственного бюджетного учреждения Новосибирской области Центр психолого-педагогической, медицинской и социальной помощи детям «Областной центр диагностики и консультирования»;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ind w:left="720" w:firstLine="696"/>
        <w:jc w:val="both"/>
        <w:spacing w:after="0" w:line="256" w:lineRule="auto"/>
        <w:widowControl w:val="off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Лузан Светлана Сергеевна, директор государственного бюджетного профессионального образовательного учреждения Новосибирской области «Новосибирский профессионально - педагогический колледж»;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left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ab/>
        <w:t xml:space="preserve">Осьмук Людмила Алексеевна, директор Ресурсного учебно-методического центра по обучению инвалидов и лиц с ограниченными возможностями здоровья Новосибирского государственного технического университета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pStyle w:val="908"/>
        <w:ind w:left="0"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left="0"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</w:r>
    </w:p>
    <w:p>
      <w:pPr>
        <w:pStyle w:val="908"/>
        <w:ind w:left="0"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left="0"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left="0"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left="0"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left="0"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left="0"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8"/>
        <w:ind w:left="0"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left="0" w:firstLine="709"/>
        <w:jc w:val="right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left="0" w:firstLine="709"/>
        <w:jc w:val="right"/>
        <w:tabs>
          <w:tab w:val="left" w:pos="709" w:leader="none"/>
        </w:tabs>
        <w:rPr>
          <w:sz w:val="28"/>
          <w:szCs w:val="28"/>
          <w:highlight w:val="white"/>
        </w:rPr>
      </w:pPr>
      <w:r/>
      <w:bookmarkStart w:id="0" w:name="_GoBack"/>
      <w:r/>
      <w:bookmarkEnd w:id="0"/>
      <w:r>
        <w:rPr>
          <w:sz w:val="28"/>
          <w:szCs w:val="28"/>
          <w:highlight w:val="white"/>
        </w:rPr>
        <w:t xml:space="preserve">ПРОЕКТ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left="0" w:firstLine="709"/>
        <w:jc w:val="center"/>
        <w:tabs>
          <w:tab w:val="left" w:pos="709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РЕШЕНИЕ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08"/>
        <w:ind w:left="0" w:firstLine="709"/>
        <w:jc w:val="center"/>
        <w:tabs>
          <w:tab w:val="left" w:pos="709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коллегии министерства образования Новосибирской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08"/>
        <w:ind w:left="0" w:firstLine="709"/>
        <w:jc w:val="center"/>
        <w:tabs>
          <w:tab w:val="left" w:pos="709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highlight w:val="white"/>
          <w:lang w:eastAsia="ru-RU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Об итогах государственной итоговой аттестации в Новосибирской области в 2024 году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Коллегия министерства образования Новосибирской области отмечает, что государственная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итоговая аттестация (далее - ГИА) в 2024 году прошла на хорошем организационно-технологическом уровне. Более активно участники единого государственного экзамена выбирают предметы инженерного и естественнонаучного направлений. Положительная динамика результ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атов зафиксирована по математике профильного уровня, физике, химии и биологии. Результаты 9 классов сопоставимы с прошлым годом: доля участников экзаменов, не преодолевших минимальный порог, в динамике за три года уменьшилась практически по всем предметам.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Для обеспечения повышения качества подготовки выпускников школ Новосибирской области в 2024-2025 учебном году коллегия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решила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 Р</w:t>
      </w:r>
      <w:r>
        <w:rPr>
          <w:rFonts w:ascii="Times New Roman" w:hAnsi="Times New Roman" w:eastAsia="Times New Roman"/>
          <w:color w:val="222222"/>
          <w:sz w:val="28"/>
          <w:szCs w:val="28"/>
          <w:lang w:eastAsia="ru-RU"/>
        </w:rPr>
        <w:t xml:space="preserve">екомендовать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министерству образования Новосибирской области</w:t>
      </w:r>
      <w:r>
        <w:rPr>
          <w:rFonts w:ascii="Times New Roman" w:hAnsi="Times New Roman" w:eastAsia="Times New Roman"/>
          <w:color w:val="222222"/>
          <w:sz w:val="28"/>
          <w:szCs w:val="28"/>
          <w:lang w:eastAsia="ru-RU"/>
        </w:rPr>
        <w:t xml:space="preserve"> разработать и утвердить региональный пла</w:t>
      </w:r>
      <w:r>
        <w:rPr>
          <w:rFonts w:ascii="Times New Roman" w:hAnsi="Times New Roman" w:eastAsia="Times New Roman"/>
          <w:color w:val="222222"/>
          <w:sz w:val="28"/>
          <w:szCs w:val="28"/>
          <w:lang w:eastAsia="ru-RU"/>
        </w:rPr>
        <w:t xml:space="preserve">н мероприятий («дорожную карту») по повышению качества образования в общеобразовательных организациях Новосибирской области в 2024-2025 учебном году с учетом перечня мероприятий, направленных на формирование и оценку функциональной грамотности обучающихся.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222222"/>
          <w:sz w:val="28"/>
          <w:szCs w:val="28"/>
          <w:lang w:eastAsia="ru-RU"/>
        </w:rPr>
        <w:t xml:space="preserve">Срок – до 30 октября 2024 года.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 Рекомендовать органам управления образованием муниципальных районов и городских округов Новосибирской области: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провести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детальный анализ результатов ГИА основного периода 2024 года, решаемости выполнения отдельных заданий с использованием Электронного сервиса о системе образования Новосибирской области (http://nscm.ru/stat_nimro/), Аналитического сборника результатов единог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государственного экзамена в Новосибирской области, Анализа диагностики профессиональных дефицитов учителей-предметников по математике профильного уровня, биологии, физике и химии, Статистико-аналитических отчетов о результатах проведения ГИА в 2024 году.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– до 15 октября 2024 года;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 проанализировать результаты всероссийских проверочных работ (далее  - ВПР) выпускников, сдающих основной государственный экзамен в 2025 году и выявить предметные дефициты обучающихся и педагогов.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– до 15 октября 2024 года;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3) разработать и включить в муниципальные дорожные карты по повышению качества образования мероприятия по устранению выявленных предметных дефицитов обучающихся и педагогов.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– до 30 октября 2024 года.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Руководителям районных методических объединений совместно с государственным автономным учреждением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разработать методические рекомендации по преподаванию учебных предметов с учетом анализа результатов ГИА на региональном и муниципальном уровнях.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– 30 декабря 2024 года.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 определить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необходимые дополнительные ресурсы (кадровые, материальные, финансовые), а также сформировать заказ в части повышения квалификации педагогов дл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 реализации мероприятий, направленных на исключение выявленных дефицитов.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– 30 октября 2024 года.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 Государственному казённому учреждению Новосибирской области «Новосибирский институт мониторинга и развития образования» совм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естно с государственным автономным учреждением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организовать проведение обучающих мероприятий для учи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телей и выпускников 9-х и 11-х классов по ознакомлению с контрольно-измерительными материалами ГИА 2025 года и разбору заданий, вызвавших особые затруднения при проведении основного государственного экзамена и единого государственного экзамена в 2024 году.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– ноябрь-декабрь 2024 года.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 Государственному казённому учреждению Новосибирской области «Новосибирский институт мониторинга и развития образования» совместно с органами управления образованием муниципальных районов и городских округов Новосибирской области 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общеобразовательными организациями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провести региональные тренировочные мероприятия по обязательным предметам (русскому языку и математике), по предметам инженерного 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естественнонаучного направлений (физике, химии, биологии) с использованием контрольно-измерительных материалов, разработанных ФГБНУ «ФИПИ», и технологией ФГБУ «ФЦТ» в целях подготовки выпускников к ГИА 2025 года и оказания методической поддержки учителям.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– декабрь 2024- апрель 2025 гг.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6. 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Общеобразовательным организациям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проанализировать результаты ГИА, ВПР 2022 - 2024 годов и текущую успеваемость обучающихся 9 и 11 классов, организовать работу по профилактике школьной неуспешности с целью выявлени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я обучающихся, попадающих в зону риска, и исключения получения неудовлетворительных результатов при проведении ГИА 2025 года. Представить результаты работы на отчетных сессиях с муниципальными органами управления образованием.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73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Срок – февраль – март 2025 года.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908"/>
        <w:ind w:left="0" w:firstLine="709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71" w:lineRule="auto"/>
        <w:tabs>
          <w:tab w:val="left" w:pos="993" w:leader="none"/>
        </w:tabs>
      </w:pPr>
      <w:r>
        <w:rPr>
          <w:rFonts w:ascii="Times New Roman" w:hAnsi="Times New Roman"/>
          <w:b/>
          <w:bCs/>
          <w:sz w:val="28"/>
          <w:szCs w:val="28"/>
        </w:rPr>
        <w:t xml:space="preserve">2. О пилотном проекте «Формирование системы образовательного маршрута детей и молодежи с инвалидностью и ограниченными возможностями здоровья для получения высшего образования и дальнейшего трудоустройства»</w:t>
      </w:r>
      <w:r/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Рекомендовать рабочей группе продолжить реализацию мероприятий дорожной карты по реализации пилотного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«Формирование системы образовательного маршрута детей и молодежи с инвалидностью и ограниченными возможностями здоровья для получения высшего образования и дальнейшего трудоустройства»,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утверждённой 06.09.2024, в соответствии с установленными сроками.</w:t>
      </w:r>
      <w:r>
        <w:rPr>
          <w:rFonts w:ascii="Times New Roman" w:hAnsi="Times New Roman" w:eastAsia="Times New Roman"/>
          <w:i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/>
          <w:i/>
          <w:color w:val="000000"/>
          <w:sz w:val="28"/>
          <w:szCs w:val="28"/>
          <w:highlight w:val="yellow"/>
        </w:rPr>
      </w:r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 Рекомендовать министерству образования Новосибирской области совместно с главам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муниципальных районов и городских округов Новосибирской области в целях создания условий для формирования профессиональной направленности и получения профессионального образования детьми и молодежью с инвалидностью и ограниченными возможностями здоровья: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обеспечить участие педагогических работников и обучающихся с ограниченными возможностями здоровья и инвалидностью профессиональных образовательны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х организаций, общеобразовательных и специальных (коррекционных) школ, учреждений дополнительного образования, воспитанников с ОВЗ и инвалидностью дошкольных образовательных организаций в мероприятиях инклюзивного профориентационного фестиваля «Все могу»,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организуемого государственным бюджетным профессиональным образовательным учреждением Новосибирской области «Новосибирский профессионально-педагогический колледж  - базовой профессиональной образовательной организацией, региональной инновационной площадкой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- октябрь 2024 года;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 организовать проведение на территории Новосибирской области конкурса по ранней профориентации среди детей дошкольного и младшего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школьного возраста с ограниченными возможностями здоровья и инвалидностью «Абилимпикс. Дети 5+» в формате «Фестиваля знакомства с профессией» - профориентационного мероприятия в рамках регионального чемпионата «Абилимпикс».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- апрель 2025 года и далее – ежегодно.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 Рекомендовать министерству образования Новосибирской области совместно с министерством культуры Новосиб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ирской области, министерством спорта Новосибирской области, министерством здравоохранения Новосибирской области обеспечить 100% охват профессиональных образовательных организаций Новосибирской области заключением соглашений в сфере инклюзивного образования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базовой профессиональной образовательной организацией - государственным бюджетным профессиональным образовательным учреждением Новосибирской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области «Новосибирский профессионально-педагогический колледж»,  в целя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х организации работы по формированию и развитию индивидуальных образовательных маршрутов лиц с инвалидностью и ОВЗ.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- декабрь 2024 года.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1" w:lineRule="auto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4. Рекомендовать муниципальным органам управления образов</w:t>
      </w:r>
      <w:r>
        <w:rPr>
          <w:rFonts w:ascii="Times New Roman" w:hAnsi="Times New Roman" w:eastAsia="Times New Roman"/>
          <w:color w:val="000000"/>
          <w:sz w:val="28"/>
        </w:rPr>
        <w:t xml:space="preserve">ания Новосибирской области обеспечить организацию информационно-просветительской, консультационной работы с родителями (законными представителями) детей и молодежи с инвалидностью и ограниченными возможностями здоровья по вопросам маршрутов получения образ</w:t>
      </w:r>
      <w:r>
        <w:rPr>
          <w:rFonts w:ascii="Times New Roman" w:hAnsi="Times New Roman" w:eastAsia="Times New Roman"/>
          <w:color w:val="000000"/>
          <w:sz w:val="28"/>
        </w:rPr>
        <w:t xml:space="preserve">ования, в том числе профессионального и дополнительного, а также оказания психолого-педагогической помощи с использованием созданных в образовательных организациях консультационных центров, центров психолого-педагогической, медицинской и социальной помощи.</w:t>
      </w:r>
      <w:r/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- апрель 2025 года и далее – ежегодно.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</w:rPr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eastAsia="ru-RU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Председатель коллегии,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министр образования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  <w:t xml:space="preserve">М.Н. Жафярова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Секретарь коллегии,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начальник организационно-правового управления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71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министерства образования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  <w:t xml:space="preserve">Т.М. Тарасик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708" w:bottom="993" w:left="127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Consultant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59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59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/>
        <w:b/>
        <w:bCs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7590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711"/>
    <w:next w:val="711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711"/>
    <w:next w:val="711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711"/>
    <w:next w:val="711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711"/>
    <w:next w:val="711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711"/>
    <w:next w:val="711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711"/>
    <w:next w:val="711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89">
    <w:name w:val="Header"/>
    <w:basedOn w:val="711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0">
    <w:name w:val="Footer"/>
    <w:basedOn w:val="711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1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92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3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6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0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 w:customStyle="1">
    <w:name w:val="Заголовок 11"/>
    <w:basedOn w:val="711"/>
    <w:next w:val="711"/>
    <w:link w:val="91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paragraph" w:styleId="716" w:customStyle="1">
    <w:name w:val="Заголовок 21"/>
    <w:basedOn w:val="711"/>
    <w:next w:val="711"/>
    <w:link w:val="920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717" w:customStyle="1">
    <w:name w:val="Заголовок 31"/>
    <w:basedOn w:val="711"/>
    <w:next w:val="711"/>
    <w:link w:val="921"/>
    <w:qFormat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718" w:customStyle="1">
    <w:name w:val="Заголовок 41"/>
    <w:basedOn w:val="711"/>
    <w:next w:val="711"/>
    <w:link w:val="73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 w:customStyle="1">
    <w:name w:val="Заголовок 51"/>
    <w:basedOn w:val="711"/>
    <w:next w:val="711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 w:customStyle="1">
    <w:name w:val="Заголовок 61"/>
    <w:basedOn w:val="711"/>
    <w:next w:val="711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1" w:customStyle="1">
    <w:name w:val="Заголовок 71"/>
    <w:basedOn w:val="711"/>
    <w:next w:val="711"/>
    <w:link w:val="922"/>
    <w:semiHidden/>
    <w:unhideWhenUsed/>
    <w:qFormat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722" w:customStyle="1">
    <w:name w:val="Заголовок 81"/>
    <w:basedOn w:val="711"/>
    <w:next w:val="711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3" w:customStyle="1">
    <w:name w:val="Заголовок 91"/>
    <w:basedOn w:val="711"/>
    <w:next w:val="711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2"/>
    <w:uiPriority w:val="10"/>
    <w:rPr>
      <w:sz w:val="48"/>
      <w:szCs w:val="48"/>
    </w:rPr>
  </w:style>
  <w:style w:type="character" w:styleId="730" w:customStyle="1">
    <w:name w:val="Subtitle Char"/>
    <w:basedOn w:val="712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uiPriority w:val="9"/>
    <w:rPr>
      <w:rFonts w:ascii="Arial" w:hAnsi="Arial" w:eastAsia="Arial" w:cs="Arial"/>
      <w:sz w:val="34"/>
    </w:rPr>
  </w:style>
  <w:style w:type="character" w:styleId="73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11"/>
    <w:uiPriority w:val="99"/>
    <w:qFormat/>
    <w:pPr>
      <w:contextualSpacing/>
      <w:ind w:left="720"/>
    </w:pPr>
  </w:style>
  <w:style w:type="paragraph" w:styleId="745">
    <w:name w:val="Title"/>
    <w:basedOn w:val="711"/>
    <w:next w:val="711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11"/>
    <w:next w:val="711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11"/>
    <w:next w:val="711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11"/>
    <w:next w:val="711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 w:customStyle="1">
    <w:name w:val="Верхний колонтитул1"/>
    <w:basedOn w:val="711"/>
    <w:link w:val="93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54" w:customStyle="1">
    <w:name w:val="Header Char"/>
    <w:uiPriority w:val="99"/>
  </w:style>
  <w:style w:type="paragraph" w:styleId="755" w:customStyle="1">
    <w:name w:val="Нижний колонтитул1"/>
    <w:basedOn w:val="711"/>
    <w:link w:val="93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56" w:customStyle="1">
    <w:name w:val="Footer Char"/>
    <w:uiPriority w:val="99"/>
  </w:style>
  <w:style w:type="paragraph" w:styleId="757" w:customStyle="1">
    <w:name w:val="Название объекта1"/>
    <w:basedOn w:val="711"/>
    <w:next w:val="71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>
    <w:name w:val="Table Grid"/>
    <w:basedOn w:val="713"/>
    <w:uiPriority w:val="59"/>
    <w:tblPr/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link w:val="94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711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11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11"/>
    <w:next w:val="711"/>
    <w:uiPriority w:val="39"/>
    <w:unhideWhenUsed/>
    <w:pPr>
      <w:spacing w:after="57"/>
    </w:pPr>
  </w:style>
  <w:style w:type="paragraph" w:styleId="893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94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95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96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97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98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9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900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11"/>
    <w:next w:val="711"/>
    <w:uiPriority w:val="99"/>
    <w:unhideWhenUsed/>
    <w:pPr>
      <w:spacing w:after="0"/>
    </w:pPr>
  </w:style>
  <w:style w:type="numbering" w:styleId="903" w:customStyle="1">
    <w:name w:val="Нет списка1"/>
    <w:next w:val="714"/>
    <w:uiPriority w:val="99"/>
    <w:semiHidden/>
  </w:style>
  <w:style w:type="paragraph" w:styleId="904" w:customStyle="1">
    <w:name w:val="Знак Знак Знак"/>
    <w:basedOn w:val="711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905" w:customStyle="1">
    <w:name w:val="Заголовок;Название"/>
    <w:basedOn w:val="711"/>
    <w:link w:val="906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06" w:customStyle="1">
    <w:name w:val="Название Знак"/>
    <w:link w:val="90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7" w:customStyle="1">
    <w:name w:val="Абзац списка1"/>
    <w:basedOn w:val="711"/>
    <w:pPr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08" w:customStyle="1">
    <w:name w:val="Абзац списка;ПАРАГРАФ;Абзац списка11;Num Bullet 1;Bullet Number;Индексы;Use Case List Paragraph;Маркер;ТЗ список;Абзац списка литеральный;Цветной список - Акцент 11;Bullet List;FooterText;numbered;Paragraphe de liste1;lp1;Выделеный;List Paragraph"/>
    <w:basedOn w:val="711"/>
    <w:link w:val="917"/>
    <w:uiPriority w:val="34"/>
    <w:qFormat/>
    <w:pPr>
      <w:ind w:left="708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9">
    <w:name w:val="Balloon Text"/>
    <w:basedOn w:val="711"/>
    <w:link w:val="910"/>
    <w:rPr>
      <w:rFonts w:ascii="Tahoma" w:hAnsi="Tahoma" w:cs="Tahoma"/>
      <w:sz w:val="16"/>
      <w:szCs w:val="16"/>
    </w:rPr>
  </w:style>
  <w:style w:type="character" w:styleId="910" w:customStyle="1">
    <w:name w:val="Текст выноски Знак"/>
    <w:link w:val="909"/>
    <w:rPr>
      <w:rFonts w:ascii="Tahoma" w:hAnsi="Tahoma" w:eastAsia="Calibri" w:cs="Tahoma"/>
      <w:sz w:val="16"/>
      <w:szCs w:val="16"/>
    </w:rPr>
  </w:style>
  <w:style w:type="paragraph" w:styleId="911">
    <w:name w:val="Body Text Indent"/>
    <w:basedOn w:val="711"/>
    <w:link w:val="912"/>
    <w:pPr>
      <w:ind w:firstLine="540"/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912" w:customStyle="1">
    <w:name w:val="Основной текст с отступом Знак"/>
    <w:link w:val="91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13">
    <w:name w:val="Body Text 3"/>
    <w:basedOn w:val="711"/>
    <w:link w:val="914"/>
    <w:pPr>
      <w:jc w:val="both"/>
      <w:spacing w:after="0" w:line="240" w:lineRule="auto"/>
      <w:shd w:val="clear" w:color="auto" w:fill="ffffff"/>
      <w:tabs>
        <w:tab w:val="left" w:pos="720" w:leader="none"/>
      </w:tabs>
    </w:pPr>
    <w:rPr>
      <w:rFonts w:ascii="Times New Roman" w:hAnsi="Times New Roman" w:eastAsia="Times New Roman"/>
      <w:b/>
      <w:bCs/>
      <w:i/>
      <w:iCs/>
      <w:sz w:val="24"/>
      <w:szCs w:val="24"/>
      <w:lang w:eastAsia="ru-RU"/>
    </w:rPr>
  </w:style>
  <w:style w:type="character" w:styleId="914" w:customStyle="1">
    <w:name w:val="Основной текст 3 Знак"/>
    <w:link w:val="913"/>
    <w:rPr>
      <w:rFonts w:ascii="Times New Roman" w:hAnsi="Times New Roman" w:eastAsia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paragraph" w:styleId="915" w:customStyle="1">
    <w:name w:val="ConsPlusNormal"/>
    <w:rPr>
      <w:rFonts w:ascii="Times New Roman" w:hAnsi="Times New Roman"/>
      <w:sz w:val="28"/>
      <w:szCs w:val="28"/>
      <w:lang w:eastAsia="en-US"/>
    </w:rPr>
  </w:style>
  <w:style w:type="paragraph" w:styleId="916" w:customStyle="1">
    <w:name w:val="Знак"/>
    <w:basedOn w:val="711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styleId="917" w:customStyle="1">
    <w:name w:val="Абзац списка Знак;ПАРАГРАФ Знак;Абзац списка11 Знак;Num Bullet 1 Знак;Bullet Number Знак;Индексы Знак;Абзац списка1 Знак;Use Case List Paragraph Знак;Маркер Знак;ТЗ список Знак;Абзац списка литеральный Знак;Цветной список - Акцент 11 Знак;Bullet List Зн"/>
    <w:link w:val="908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Iau?iue"/>
    <w:rPr>
      <w:rFonts w:ascii="Times New Roman" w:hAnsi="Times New Roman" w:eastAsia="Times New Roman"/>
      <w:lang w:eastAsia="ru-RU"/>
    </w:rPr>
  </w:style>
  <w:style w:type="character" w:styleId="919" w:customStyle="1">
    <w:name w:val="Заголовок 1 Знак"/>
    <w:link w:val="715"/>
    <w:rPr>
      <w:rFonts w:ascii="Times New Roman" w:hAnsi="Times New Roman" w:eastAsia="Times New Roman"/>
      <w:b/>
      <w:bCs/>
      <w:sz w:val="28"/>
      <w:szCs w:val="24"/>
    </w:rPr>
  </w:style>
  <w:style w:type="character" w:styleId="920" w:customStyle="1">
    <w:name w:val="Заголовок 2 Знак"/>
    <w:link w:val="716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921" w:customStyle="1">
    <w:name w:val="Заголовок 3 Знак"/>
    <w:link w:val="717"/>
    <w:rPr>
      <w:rFonts w:ascii="Arial" w:hAnsi="Arial" w:eastAsia="Times New Roman" w:cs="Arial"/>
      <w:b/>
      <w:bCs/>
      <w:sz w:val="26"/>
      <w:szCs w:val="26"/>
    </w:rPr>
  </w:style>
  <w:style w:type="character" w:styleId="922" w:customStyle="1">
    <w:name w:val="Заголовок 7 Знак"/>
    <w:link w:val="721"/>
    <w:semiHidden/>
    <w:rPr>
      <w:rFonts w:eastAsia="Times New Roman"/>
      <w:sz w:val="24"/>
      <w:szCs w:val="24"/>
    </w:rPr>
  </w:style>
  <w:style w:type="paragraph" w:styleId="923">
    <w:name w:val="Body Text"/>
    <w:basedOn w:val="711"/>
    <w:link w:val="924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4" w:customStyle="1">
    <w:name w:val="Основной текст Знак"/>
    <w:link w:val="923"/>
    <w:rPr>
      <w:rFonts w:ascii="Times New Roman" w:hAnsi="Times New Roman" w:eastAsia="Times New Roman"/>
      <w:sz w:val="24"/>
      <w:szCs w:val="24"/>
    </w:rPr>
  </w:style>
  <w:style w:type="paragraph" w:styleId="925">
    <w:name w:val="Body Text 2"/>
    <w:basedOn w:val="711"/>
    <w:link w:val="926"/>
    <w:pPr>
      <w:jc w:val="both"/>
      <w:spacing w:after="0" w:line="240" w:lineRule="auto"/>
      <w:tabs>
        <w:tab w:val="left" w:pos="7088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26" w:customStyle="1">
    <w:name w:val="Основной текст 2 Знак"/>
    <w:link w:val="925"/>
    <w:rPr>
      <w:rFonts w:ascii="Times New Roman" w:hAnsi="Times New Roman" w:eastAsia="Times New Roman"/>
      <w:b/>
      <w:bCs/>
      <w:i/>
      <w:iCs/>
      <w:sz w:val="24"/>
      <w:szCs w:val="24"/>
    </w:rPr>
  </w:style>
  <w:style w:type="paragraph" w:styleId="927">
    <w:name w:val="Body Text Indent 3"/>
    <w:basedOn w:val="711"/>
    <w:link w:val="928"/>
    <w:pPr>
      <w:ind w:firstLine="360"/>
      <w:jc w:val="both"/>
      <w:spacing w:after="0" w:line="240" w:lineRule="auto"/>
      <w:tabs>
        <w:tab w:val="num" w:pos="0" w:leader="none"/>
      </w:tabs>
    </w:pPr>
    <w:rPr>
      <w:rFonts w:ascii="Times New Roman" w:hAnsi="Times New Roman" w:eastAsia="Times New Roman"/>
      <w:b/>
      <w:bCs/>
      <w:i/>
      <w:iCs/>
      <w:sz w:val="24"/>
      <w:szCs w:val="24"/>
      <w:lang w:eastAsia="ru-RU"/>
    </w:rPr>
  </w:style>
  <w:style w:type="character" w:styleId="928" w:customStyle="1">
    <w:name w:val="Основной текст с отступом 3 Знак"/>
    <w:link w:val="927"/>
    <w:rPr>
      <w:rFonts w:ascii="Times New Roman" w:hAnsi="Times New Roman" w:eastAsia="Times New Roman"/>
      <w:b/>
      <w:bCs/>
      <w:i/>
      <w:iCs/>
      <w:sz w:val="24"/>
      <w:szCs w:val="24"/>
    </w:rPr>
  </w:style>
  <w:style w:type="paragraph" w:styleId="929">
    <w:name w:val="Body Text Indent 2"/>
    <w:basedOn w:val="711"/>
    <w:link w:val="930"/>
    <w:pPr>
      <w:ind w:left="283"/>
      <w:spacing w:after="120" w:line="48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30" w:customStyle="1">
    <w:name w:val="Основной текст с отступом 2 Знак"/>
    <w:link w:val="929"/>
    <w:rPr>
      <w:rFonts w:ascii="Times New Roman" w:hAnsi="Times New Roman" w:eastAsia="Times New Roman"/>
      <w:sz w:val="24"/>
      <w:szCs w:val="24"/>
    </w:rPr>
  </w:style>
  <w:style w:type="character" w:styleId="931" w:customStyle="1">
    <w:name w:val="Верхний колонтитул Знак"/>
    <w:link w:val="753"/>
    <w:uiPriority w:val="99"/>
    <w:rPr>
      <w:rFonts w:ascii="Times New Roman" w:hAnsi="Times New Roman" w:eastAsia="Times New Roman"/>
      <w:sz w:val="24"/>
      <w:szCs w:val="24"/>
    </w:rPr>
  </w:style>
  <w:style w:type="character" w:styleId="932">
    <w:name w:val="page number"/>
  </w:style>
  <w:style w:type="character" w:styleId="933" w:customStyle="1">
    <w:name w:val="Нижний колонтитул Знак"/>
    <w:link w:val="755"/>
    <w:uiPriority w:val="99"/>
    <w:rPr>
      <w:rFonts w:ascii="Times New Roman" w:hAnsi="Times New Roman" w:eastAsia="Times New Roman"/>
      <w:sz w:val="24"/>
      <w:szCs w:val="24"/>
    </w:rPr>
  </w:style>
  <w:style w:type="paragraph" w:styleId="934" w:customStyle="1">
    <w:name w:val="Знак"/>
    <w:basedOn w:val="711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935">
    <w:name w:val="No Spacing"/>
    <w:uiPriority w:val="1"/>
    <w:qFormat/>
    <w:rPr>
      <w:rFonts w:ascii="Times New Roman" w:hAnsi="Times New Roman" w:eastAsia="Times New Roman"/>
      <w:sz w:val="28"/>
      <w:szCs w:val="28"/>
      <w:lang w:eastAsia="ru-RU"/>
    </w:rPr>
  </w:style>
  <w:style w:type="paragraph" w:styleId="936">
    <w:name w:val="Normal (Web)"/>
    <w:basedOn w:val="7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7" w:customStyle="1">
    <w:name w:val="headertext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8" w:customStyle="1">
    <w:name w:val="Nonformat"/>
    <w:basedOn w:val="711"/>
    <w:pPr>
      <w:spacing w:after="0" w:line="240" w:lineRule="auto"/>
      <w:widowControl w:val="off"/>
    </w:pPr>
    <w:rPr>
      <w:rFonts w:ascii="Consultant" w:hAnsi="Consultant" w:eastAsia="Times New Roman"/>
      <w:sz w:val="20"/>
      <w:szCs w:val="20"/>
      <w:lang w:eastAsia="ru-RU"/>
    </w:rPr>
  </w:style>
  <w:style w:type="paragraph" w:styleId="939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40" w:customStyle="1">
    <w:name w:val="docdata;docy;v5;191351;bqiaagaaeyqcaaagiaiaaami5qiabsnpagaaaaaaaaaaaaaaaaaaaaaaaaaaaaaaaaaaaaaaaaaaaaaaaaaaaaaaaaaaaaaaaaaaaaaaaaaaaaaaaaaaaaaaaaaaaaaaaaaaaaaaaaaaaaaaaaaaaaaaaaaaaaaaaaaaaaaaaaaaaaaaaaaaaaaaaaaaaaaaaaaaaaaaaaaaaaaaaaaaaaaaaaaaaaaaaaaaaa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1" w:customStyle="1">
    <w:name w:val="Абзац списка;ПАРАГРАФ;Абзац списка11;Num Bullet 1;Bullet Number;Индексы;Use Case List Paragraph;Маркер;ТЗ список;Абзац списка литеральный;Цветной список - Акцент 11;Bullet List;FooterText;numbered;Paragraphe de liste1;lp1;Выделеный;List Paragraph"/>
    <w:uiPriority w:val="34"/>
    <w:qFormat/>
    <w:pPr>
      <w:ind w:left="708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2" w:customStyle="1">
    <w:name w:val="Абзац списка;ПАРАГРАФ;Абзац списка11;Num Bullet 1;Bullet Number;Индексы;Use Case List Paragraph;Маркер;ТЗ список;Абзац списка литеральный;Цветной список - Акцент 11;Bullet List;FooterText;numbered;Paragraphe de liste1;lp1;Выделеный"/>
    <w:link w:val="828"/>
    <w:qFormat/>
    <w:pPr>
      <w:ind w:left="708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table" w:styleId="943" w:customStyle="1">
    <w:name w:val="Абзац списка Знак"/>
    <w:uiPriority w:val="99"/>
    <w:rPr>
      <w:rFonts w:cs="Calibri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de4d0" w:themeFill="accent6" w:themeFillTint="40"/>
      </w:tcPr>
    </w:tblStylePr>
  </w:style>
  <w:style w:type="paragraph" w:styleId="944" w:customStyle="1">
    <w:name w:val="docdata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45" w:customStyle="1">
    <w:name w:val="1871"/>
    <w:basedOn w:val="71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Трубачева Ольга Анатольевна</dc:creator>
  <cp:revision>10</cp:revision>
  <dcterms:created xsi:type="dcterms:W3CDTF">2024-09-19T04:32:00Z</dcterms:created>
  <dcterms:modified xsi:type="dcterms:W3CDTF">2024-10-03T09:02:58Z</dcterms:modified>
  <cp:version>1048576</cp:version>
</cp:coreProperties>
</file>