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footnotes.xml" ContentType="application/vnd.openxmlformats-officedocument.wordprocessingml.footnotes+xml"/>
  <Override PartName="/word/styles.xml" ContentType="application/vnd.openxmlformats-officedocument.wordprocessingml.styl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УТВЕРЖДЕНО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приказом Минобразования Новосибирской области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от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29.12.2022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№ 3141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tabs>
          <w:tab w:val="left" w:pos="5670" w:leader="none"/>
        </w:tabs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Министр образования 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Новосибирской области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color w:val="000000" w:themeColor="text1"/>
          <w:sz w:val="28"/>
          <w:szCs w:val="28"/>
          <w:highlight w:val="white"/>
        </w:rPr>
        <w:t xml:space="preserve"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С.В. Федорчук</w:t>
      </w:r>
      <w:r>
        <w:rPr>
          <w:color w:val="000000" w:themeColor="text1"/>
        </w:rPr>
      </w:r>
      <w:r/>
    </w:p>
    <w:p>
      <w:pPr>
        <w:pStyle w:val="935"/>
        <w:ind w:left="5387"/>
        <w:jc w:val="center"/>
        <w:rPr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«29» декабря 202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г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right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__</w:t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3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20</w:t>
      </w:r>
      <w:r>
        <w:rPr>
          <w:rFonts w:ascii="Times New Roman" w:hAnsi="Times New Roman" w:cs="Times New Roman"/>
          <w:b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</w:rPr>
        <w:t xml:space="preserve"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/>
          <w:sz w:val="28"/>
          <w:szCs w:val="28"/>
        </w:rPr>
        <w:t xml:space="preserve"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/>
    </w:p>
    <w:p>
      <w:pPr>
        <w:pStyle w:val="935"/>
        <w:jc w:val="center"/>
      </w:pPr>
      <w:r>
        <w:t xml:space="preserve">                                    </w:t>
      </w:r>
      <w:r/>
    </w:p>
    <w:tbl>
      <w:tblPr>
        <w:tblStyle w:val="940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Коды</w:t>
            </w:r>
            <w:r/>
          </w:p>
        </w:tc>
      </w:tr>
      <w:tr>
        <w:trPr>
          <w:trHeight w:val="58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государственного учреждения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Новосибирской области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Форма по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ОКУД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Align w:val="center"/>
            <w:vMerge w:val="restart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0506001</w:t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Государственное бюджетное профессиональное образовательное учреждение Новосибирской области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vMerge w:val="continue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  <w:b/>
                <w:sz w:val="14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</w:t>
            </w:r>
            <w:r>
              <w:rPr>
                <w:rFonts w:ascii="Times New Roman" w:hAnsi="Times New Roman" w:cs="Times New Roman"/>
                <w:b/>
              </w:rPr>
              <w:t xml:space="preserve">Новосибирский технический колледж им. А.И. Покрышкина</w:t>
            </w:r>
            <w:r>
              <w:rPr>
                <w:rFonts w:ascii="Times New Roman" w:hAnsi="Times New Roman" w:cs="Times New Roman"/>
                <w:b/>
              </w:rPr>
              <w:t xml:space="preserve">»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начала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b/>
                <w:sz w:val="14"/>
              </w:rPr>
            </w:pPr>
            <w:r>
              <w:rPr>
                <w:rFonts w:ascii="Times New Roman" w:hAnsi="Times New Roman" w:cs="Times New Roman"/>
              </w:rPr>
              <w:t xml:space="preserve">Виды деятельности государственного учреждения Новосибирской  области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окончания действия</w:t>
            </w:r>
            <w:r/>
          </w:p>
        </w:tc>
        <w:tc>
          <w:tcPr>
            <w:tcBorders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7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сводному</w:t>
            </w:r>
            <w:r/>
          </w:p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реестру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63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Образование и наука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64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85.21</w:t>
            </w:r>
            <w:r/>
          </w:p>
        </w:tc>
      </w:tr>
      <w:tr>
        <w:trPr>
          <w:trHeight w:val="36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 государственного учреждения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323"/>
        </w:trPr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38" w:type="dxa"/>
            <w:vAlign w:val="bottom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Профессиональная образовательная организация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single" w:color="auto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ОКВЭД</w:t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86"/>
        </w:trPr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38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31" w:type="dxa"/>
            <w:vAlign w:val="center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64" w:type="dxa"/>
            <w:textDirection w:val="lrTb"/>
            <w:noWrap w:val="false"/>
          </w:tcPr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>
        <w:rPr>
          <w:rFonts w:ascii="Times New Roman" w:hAnsi="Times New Roman" w:cs="Times New Roman"/>
          <w:lang w:val="en-US"/>
        </w:rPr>
        <w:t xml:space="preserve">I</w:t>
      </w:r>
      <w:r>
        <w:rPr>
          <w:rFonts w:ascii="Times New Roman" w:hAnsi="Times New Roman" w:cs="Times New Roman"/>
        </w:rPr>
        <w:t xml:space="preserve">. Сведения об оказываемых государственных услугах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1</w:t>
      </w:r>
      <w:r/>
    </w:p>
    <w:p>
      <w:pPr>
        <w:pStyle w:val="93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среднего профессионального образования - программ подготовки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среднего звена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37.Д56.0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</w:r>
            <w:r/>
          </w:p>
          <w:p>
            <w:pPr>
              <w:pStyle w:val="935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Ф</w:t>
            </w:r>
            <w:r>
              <w:rPr>
                <w:rFonts w:ascii="Times New Roman" w:hAnsi="Times New Roman" w:cs="Times New Roman"/>
              </w:rPr>
              <w:t xml:space="preserve">изические лица, имеющие основное общее образование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/>
          </w:p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среднее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</w:rPr>
        <w:sectPr>
          <w:headerReference w:type="default" r:id="rId9"/>
          <w:footerReference w:type="default" r:id="rId12"/>
          <w:footerReference w:type="first" r:id="rId13"/>
          <w:footnotePr/>
          <w:endnotePr/>
          <w:type w:val="nextPage"/>
          <w:pgSz w:w="11906" w:h="16838" w:orient="portrait"/>
          <w:pgMar w:top="709" w:right="567" w:bottom="851" w:left="1418" w:header="720" w:footer="34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</w:rPr>
      </w:r>
      <w:r/>
    </w:p>
    <w:p>
      <w:pPr>
        <w:pStyle w:val="935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82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84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25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3"/>
            <w:tcW w:w="382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gridSpan w:val="2"/>
            <w:tcW w:w="184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26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1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Содержание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3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Условия (формы) оказания</w:t>
            </w: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 2</w:t>
            </w:r>
            <w:r/>
          </w:p>
        </w:tc>
        <w:tc>
          <w:tcPr>
            <w:tcW w:w="26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  <w:t xml:space="preserve">код по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  <w:tc>
          <w:tcPr>
            <w:tcW w:w="84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2 </w:t>
            </w:r>
            <w:r/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4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6 </w:t>
            </w:r>
            <w:r/>
          </w:p>
        </w:tc>
        <w:tc>
          <w:tcPr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7 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14</w:t>
            </w:r>
            <w:r/>
          </w:p>
        </w:tc>
        <w:tc>
          <w:tcPr>
            <w:tcW w:w="8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852101О.99.0.ББ28ЛД40000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39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852101О.99.0.ББ28ЛД64000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72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60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852101О.99.0.ББ28ЕШ44000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15.02.07 Автоматизация технологических процессов и производств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76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6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42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Аддитивные технологии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143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852101О.99.0.ББ28ЕП80000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15.02.03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Техническая эксплуатация гидравлических машин, гидроприводов и гидропневмоавтоматики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60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852101О.99.0.ББ28ЧП00002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15.02.10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 мобильная робототехника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678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852101О.99.0.ББ28ЧС16002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15.02.11 Техническая эксплуатация и обслуживание роботизированного производства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1489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241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 Монтаж, техническое обслуживание и ремонт электронных приборов и устройств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41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70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sz w:val="20"/>
          <w:szCs w:val="2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1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852101О.99.0.ББ28ЛД40000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27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852101О.99.0.ББ28ЛД64000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22.02.06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Сварочное производство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97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00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852101О.99.0.ББ28ДЭ52000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13.02.11 Техническая эксплуатация и обслуживание электрического и электромеханического оборудования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852101О.99.0.ББ28ЕШ44000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15.02.07 Автоматизация технологических процессов и производств (по отраслям)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34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852101О.99.0.ББ28ЕЯ76000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15.02.09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Аддитивные технологии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  <w:tr>
        <w:trPr>
          <w:trHeight w:val="108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852101О.99.0.ББ28ЕП80000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15.02.03</w:t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Техническая эксплуатация гидравлических машин, гидроприводов и гидропневмоавтоматики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rPr>
          <w:trHeight w:val="48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852101О.99.0.ББ28ЧП00002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Мехатроника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и мобильная робототехника 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(по отраслям)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96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852101О.99.0.ББ28ЧС16002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15.02.11 Техническая эксплуатация и обслуживание роботизированного производства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rPr>
          <w:trHeight w:val="120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852101О.99.0.ББ28ЧУ32002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15.02.12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Монтаж, техническое обслуживание и ремонт промышленного оборудования (по отраслям)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852101О.99.0.ББ28ШП08002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27.02.07 Управление качеством продукции, процессов и услуг (по отраслям)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142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  <w:r>
              <w:rPr>
                <w:color w:val="000000" w:themeColor="text1"/>
              </w:rPr>
            </w:r>
          </w:p>
        </w:tc>
      </w:tr>
      <w:tr>
        <w:trPr>
          <w:trHeight w:val="2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852101О.99.0.ББ28ЧЗ52002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11.02.16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Монтаж, техническое обслуживание и ремонт электронных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приборов и устройств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25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>
              <w:rPr>
                <w:color w:val="000000" w:themeColor="text1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>
              <w:rPr>
                <w:color w:val="000000" w:themeColor="text1"/>
              </w:rPr>
            </w:r>
          </w:p>
        </w:tc>
      </w:tr>
    </w:tbl>
    <w:p>
      <w:pPr>
        <w:pStyle w:val="935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567" w:right="567" w:bottom="851" w:left="1134" w:header="340" w:footer="567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ff0000"/>
          <w:szCs w:val="22"/>
        </w:rPr>
      </w:pPr>
      <w:r>
        <w:rPr>
          <w:rFonts w:ascii="Times New Roman" w:hAnsi="Times New Roman" w:cs="Times New Roman"/>
          <w:color w:val="ff0000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shd w:val="nil" w:color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highlight w:val="none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cs="Times New Roman"/>
          <w:color w:val="000000" w:themeColor="text1"/>
        </w:rPr>
        <w:t xml:space="preserve">Раздел 2</w:t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Style w:val="940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>
        <w:trPr>
          <w:trHeight w:val="239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right w:val="none" w:color="000000" w:sz="4" w:space="0"/>
            </w:tcBorders>
            <w:tcW w:w="155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Код по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базовому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(отраслевому)</w:t>
            </w:r>
            <w:r/>
          </w:p>
          <w:p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перечню или региональному перечню</w:t>
            </w:r>
            <w:r/>
          </w:p>
          <w:p>
            <w:pPr>
              <w:pStyle w:val="93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22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none" w:color="000000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1017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462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среднего профессионального образования - программ подготовки квалифицированных рабочих, служащих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17" w:type="dxa"/>
            <w:vMerge w:val="restart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37.Д57.0</w:t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  <w:tr>
        <w:trPr>
          <w:trHeight w:val="530"/>
        </w:trPr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none" w:color="000000" w:sz="4" w:space="0"/>
            </w:tcBorders>
            <w:tcW w:w="7315" w:type="dxa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Физические лица, имеющие основное общее образование</w:t>
            </w:r>
            <w:r/>
          </w:p>
        </w:tc>
        <w:tc>
          <w:tcPr>
            <w:tcBorders>
              <w:left w:val="none" w:color="000000" w:sz="4" w:space="0"/>
              <w:right w:val="single" w:color="auto" w:sz="4" w:space="0"/>
            </w:tcBorders>
            <w:tcW w:w="155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7" w:type="dxa"/>
            <w:vMerge w:val="continue"/>
            <w:textDirection w:val="lrTb"/>
            <w:noWrap w:val="false"/>
          </w:tcPr>
          <w:p>
            <w:pPr>
              <w:pStyle w:val="93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</w:r>
            <w:r/>
          </w:p>
        </w:tc>
      </w:tr>
    </w:tbl>
    <w:p>
      <w:pPr>
        <w:pStyle w:val="935"/>
        <w:rPr>
          <w:rFonts w:ascii="Times New Roman" w:hAnsi="Times New Roman" w:cs="Times New Roman"/>
          <w:color w:val="ff0000"/>
        </w:rPr>
        <w:sectPr>
          <w:headerReference w:type="default" r:id="rId10"/>
          <w:footnotePr/>
          <w:endnotePr/>
          <w:type w:val="nextPage"/>
          <w:pgSz w:w="11906" w:h="16838" w:orient="portrait"/>
          <w:pgMar w:top="1134" w:right="567" w:bottom="1134" w:left="1418" w:header="720" w:footer="720" w:gutter="0"/>
          <w:cols w:num="1" w:sep="0" w:space="720" w:equalWidth="1"/>
          <w:docGrid w:linePitch="360"/>
          <w:titlePg/>
        </w:sectPr>
      </w:pPr>
      <w:r>
        <w:rPr>
          <w:rFonts w:ascii="Times New Roman" w:hAnsi="Times New Roman" w:cs="Times New Roman"/>
          <w:color w:val="ff0000"/>
        </w:rPr>
      </w:r>
      <w:r/>
    </w:p>
    <w:p>
      <w:pPr>
        <w:pStyle w:val="935"/>
        <w:ind w:left="-567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 Показатели, характеризующие объем и (или) качество государственной услуги:</w:t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p>
      <w:pPr>
        <w:ind w:left="-567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3.1. Показатели, характеризующие качество государственной услуги:</w:t>
      </w:r>
      <w:r/>
    </w:p>
    <w:p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018" w:type="dxa"/>
        <w:tblInd w:w="-6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>
        <w:trPr>
          <w:trHeight w:val="99"/>
        </w:trPr>
        <w:tc>
          <w:tcPr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  <w:r/>
          </w:p>
        </w:tc>
        <w:tc>
          <w:tcPr>
            <w:gridSpan w:val="3"/>
            <w:tcW w:w="354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(по справочникам)</w:t>
            </w:r>
            <w:r/>
          </w:p>
        </w:tc>
        <w:tc>
          <w:tcPr>
            <w:gridSpan w:val="2"/>
            <w:tcW w:w="198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(по справочникам)</w:t>
            </w:r>
            <w:r/>
          </w:p>
        </w:tc>
        <w:tc>
          <w:tcPr>
            <w:gridSpan w:val="3"/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  <w:r/>
          </w:p>
        </w:tc>
        <w:tc>
          <w:tcPr>
            <w:gridSpan w:val="3"/>
            <w:tcW w:w="31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  <w:r/>
          </w:p>
        </w:tc>
        <w:tc>
          <w:tcPr>
            <w:gridSpan w:val="2"/>
            <w:tcW w:w="11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качества государственной услуги</w:t>
            </w:r>
            <w:r/>
          </w:p>
        </w:tc>
        <w:tc>
          <w:tcPr>
            <w:tcW w:w="84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Результаты оценки степени значимости показателя качества государственной услуги (в баллах)</w:t>
            </w:r>
            <w:r/>
          </w:p>
        </w:tc>
      </w:tr>
      <w:tr>
        <w:trPr>
          <w:trHeight w:val="46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W w:w="35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W w:w="198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  <w:r/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W w:w="568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55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W w:w="283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ОКЕИ</w:t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56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849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"/>
        </w:trPr>
        <w:tc>
          <w:tcPr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  <w:r/>
          </w:p>
        </w:tc>
        <w:tc>
          <w:tcPr>
            <w:tcW w:w="141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  <w:r/>
          </w:p>
        </w:tc>
        <w:tc>
          <w:tcPr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  <w:r/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  <w:r/>
          </w:p>
        </w:tc>
        <w:tc>
          <w:tcPr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13</w:t>
            </w:r>
            <w:r/>
          </w:p>
        </w:tc>
        <w:tc>
          <w:tcPr>
            <w:tcW w:w="56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14</w:t>
            </w:r>
            <w:r/>
          </w:p>
        </w:tc>
        <w:tc>
          <w:tcPr>
            <w:tcW w:w="84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15</w:t>
            </w:r>
            <w:r/>
          </w:p>
        </w:tc>
      </w:tr>
      <w:tr>
        <w:trPr>
          <w:trHeight w:val="105"/>
        </w:trPr>
        <w:tc>
          <w:tcPr>
            <w:tcW w:w="9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/>
          </w:p>
        </w:tc>
        <w:tc>
          <w:tcPr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  <w:r/>
          </w:p>
        </w:tc>
        <w:tc>
          <w:tcPr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1.Сохранность контингента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95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</w:t>
            </w:r>
            <w:r/>
          </w:p>
        </w:tc>
      </w:tr>
      <w:tr>
        <w:trPr>
          <w:trHeight w:val="583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2. Доля обучающихся, прошедших промежуточную аттестацию, в общей численности обучающихся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82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3. Доля выпускников, прошедших государственную итоговую аттестацию, в общей численности выпускников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  <w:tr>
        <w:trPr>
          <w:trHeight w:val="550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78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5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2</w:t>
            </w:r>
            <w:r/>
          </w:p>
        </w:tc>
      </w:tr>
      <w:tr>
        <w:trPr>
          <w:trHeight w:val="354"/>
        </w:trPr>
        <w:tc>
          <w:tcPr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r>
            <w:r/>
          </w:p>
        </w:tc>
        <w:tc>
          <w:tcPr>
            <w:tcW w:w="283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5. Уровень выполнения контрольных цифр приема</w:t>
            </w:r>
            <w:r/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Процент</w:t>
            </w:r>
            <w:r/>
          </w:p>
        </w:tc>
        <w:tc>
          <w:tcPr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744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100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56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  <w:lang w:val="en-US"/>
              </w:rPr>
              <w:t xml:space="preserve">-</w:t>
            </w:r>
            <w:r/>
          </w:p>
        </w:tc>
        <w:tc>
          <w:tcPr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/>
          </w:p>
        </w:tc>
      </w:tr>
    </w:tbl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3.2. Показатели, характеризующие объем государственной услуги:</w:t>
      </w:r>
      <w:r/>
    </w:p>
    <w:p>
      <w:pPr>
        <w:ind w:left="-567"/>
        <w:jc w:val="both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/>
    </w:p>
    <w:tbl>
      <w:tblPr>
        <w:tblW w:w="16302" w:type="dxa"/>
        <w:tblInd w:w="-789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>
        <w:trPr>
          <w:trHeight w:val="56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реест-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</w:rPr>
              <w:t xml:space="preserve">(по справочникам)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Размер платы (цена, тариф)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Допустимые  (возможные)  отклонения  от  установленных показателей объема государственной услуги</w:t>
            </w:r>
            <w:r/>
          </w:p>
        </w:tc>
      </w:tr>
      <w:tr>
        <w:trPr>
          <w:trHeight w:val="57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69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  <w:r/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6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202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процентах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 абсолютных показателях</w:t>
            </w:r>
            <w:r/>
          </w:p>
        </w:tc>
      </w:tr>
      <w:tr>
        <w:trPr>
          <w:trHeight w:val="49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Содержание 3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1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ind w:right="-23"/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Условия (формы) оказания 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6" w:tooltip="consultantplus://offline/ref=DC41E2772540CE89436B920E86BEF4F9345B73C5B114AE3A8765A72052AFVDF" w:history="1">
              <w:r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</w:tr>
      <w:tr>
        <w:trPr>
          <w:trHeight w:val="21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17</w:t>
            </w:r>
            <w:r/>
          </w:p>
        </w:tc>
      </w:tr>
      <w:tr>
        <w:trPr>
          <w:trHeight w:val="3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852101О.99.0.ББ29ГЧ08000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Не указано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15.01.05 Сварщик (ручной и частично механизированной сварки (наплавки)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Основное общее образование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Очная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Численность обучающихся (человек)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человек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20"/>
              </w:rPr>
              <w:t xml:space="preserve">792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-</w:t>
            </w:r>
            <w:r/>
          </w:p>
        </w:tc>
      </w:tr>
    </w:tbl>
    <w:p>
      <w:pPr>
        <w:pStyle w:val="935"/>
        <w:jc w:val="center"/>
        <w:rPr>
          <w:rFonts w:ascii="Times New Roman" w:hAnsi="Times New Roman" w:cs="Times New Roman"/>
          <w:color w:val="ff0000"/>
          <w:sz w:val="4"/>
        </w:rPr>
      </w:pPr>
      <w:r>
        <w:rPr>
          <w:rFonts w:ascii="Times New Roman" w:hAnsi="Times New Roman" w:cs="Times New Roman"/>
          <w:color w:val="ff0000"/>
          <w:sz w:val="4"/>
        </w:rPr>
      </w:r>
      <w:r/>
    </w:p>
    <w:p>
      <w:pPr>
        <w:pStyle w:val="935"/>
        <w:jc w:val="center"/>
        <w:rPr>
          <w:color w:val="ff0000"/>
        </w:rPr>
        <w:sectPr>
          <w:footnotePr/>
          <w:endnotePr/>
          <w:type w:val="nextPage"/>
          <w:pgSz w:w="16838" w:h="11906" w:orient="landscape"/>
          <w:pgMar w:top="709" w:right="567" w:bottom="851" w:left="1134" w:header="454" w:footer="720" w:gutter="0"/>
          <w:cols w:num="1" w:sep="0" w:space="720" w:equalWidth="1"/>
          <w:docGrid w:linePitch="360"/>
          <w:titlePg/>
        </w:sectPr>
      </w:pPr>
      <w:r>
        <w:rPr>
          <w:color w:val="ff0000"/>
        </w:rPr>
      </w:r>
      <w:r/>
    </w:p>
    <w:p>
      <w:pPr>
        <w:pStyle w:val="935"/>
        <w:jc w:val="center"/>
        <w:rPr>
          <w:rFonts w:ascii="Times New Roman" w:hAnsi="Times New Roman" w:cs="Times New Roman"/>
          <w:color w:val="000000" w:themeColor="text1"/>
          <w:szCs w:val="22"/>
        </w:rPr>
      </w:pPr>
      <w:r>
        <w:rPr>
          <w:rFonts w:ascii="Times New Roman" w:hAnsi="Times New Roman" w:cs="Times New Roman"/>
          <w:color w:val="000000" w:themeColor="text1"/>
          <w:szCs w:val="22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4. Нормативные правовые акты, устанавливающие размер платы (цену, тариф) либо порядок ее (его) установления: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>
        <w:trPr/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6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  <w:r/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  <w:outlineLvl w:val="0"/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8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9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 Порядок оказания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5.1. Нормативные правовые акты, регулирующие порядок оказания государственной услуги:</w:t>
      </w:r>
      <w:r/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>
        <w:trPr>
          <w:trHeight w:val="570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  <w:r/>
          </w:p>
        </w:tc>
      </w:tr>
      <w:tr>
        <w:trPr>
          <w:trHeight w:val="100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Закон Новосибирской области от 05.07.2013 № 361-ОЗ «О регулировании отношений в сфере образования в Новосибирской области»;</w:t>
            </w:r>
            <w:r/>
          </w:p>
        </w:tc>
      </w:tr>
      <w:tr>
        <w:trPr>
          <w:trHeight w:val="735"/>
        </w:trPr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  <w:t xml:space="preserve">Приказ Минобрнауки РФ от 29.10.2013 № 1199 «Об утверждении перечней профессий и специальностей среднего профессионального образования».</w:t>
            </w:r>
            <w:r/>
          </w:p>
        </w:tc>
      </w:tr>
      <w:tr>
        <w:trPr>
          <w:trHeight w:val="73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08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rFonts w:ascii="Times New Roman" w:hAnsi="Times New Roman" w:cs="Times New Roman"/>
              </w:rPr>
              <w:t xml:space="preserve">Приказ Министерства просвещен</w:t>
            </w:r>
            <w:r>
              <w:rPr>
                <w:rFonts w:ascii="Times New Roman" w:hAnsi="Times New Roman" w:cs="Times New Roman"/>
              </w:rPr>
              <w:t xml:space="preserve">ия Российской Федерации от 17.05.2022 № 336 «Об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</w:t>
            </w:r>
            <w:r>
              <w:rPr>
                <w:rFonts w:ascii="Times New Roman" w:hAnsi="Times New Roman" w:cs="Times New Roman"/>
              </w:rPr>
              <w:t xml:space="preserve"> перечнях, профессиям и </w:t>
            </w:r>
            <w:r>
              <w:rPr>
                <w:rFonts w:ascii="Times New Roman" w:hAnsi="Times New Roman" w:cs="Times New Roman"/>
              </w:rPr>
              <w:t xml:space="preserve">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29.10.2013 №1199 «Об у</w:t>
            </w:r>
            <w:r>
              <w:rPr>
                <w:rFonts w:ascii="Times New Roman" w:hAnsi="Times New Roman" w:cs="Times New Roman"/>
              </w:rPr>
              <w:t xml:space="preserve">тверждении перечней профессий и </w:t>
            </w:r>
            <w:r>
              <w:rPr>
                <w:rFonts w:ascii="Times New Roman" w:hAnsi="Times New Roman" w:cs="Times New Roman"/>
              </w:rPr>
              <w:t xml:space="preserve">специальностей среднего профессионального образования»</w:t>
            </w:r>
            <w:r>
              <w:rPr>
                <w:color w:val="000000"/>
              </w:rPr>
            </w:r>
            <w:r/>
          </w:p>
        </w:tc>
      </w:tr>
    </w:tbl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5.2.  Порядок  информирования  потенциальных  потребителей  государственной услуги: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Способ информирования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  <w:r/>
          </w:p>
        </w:tc>
      </w:tr>
      <w:tr>
        <w:trPr/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1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2 </w:t>
            </w:r>
            <w:r/>
          </w:p>
        </w:tc>
        <w:tc>
          <w:tcPr>
            <w:tcW w:w="3193" w:type="dxa"/>
            <w:textDirection w:val="lrTb"/>
            <w:noWrap w:val="false"/>
          </w:tcPr>
          <w:p>
            <w:pPr>
              <w:pStyle w:val="941"/>
              <w:jc w:val="center"/>
              <w:rPr>
                <w:color w:val="000000" w:themeColor="text1"/>
                <w:szCs w:val="22"/>
              </w:rPr>
            </w:pPr>
            <w:r>
              <w:rPr>
                <w:color w:val="000000" w:themeColor="text1"/>
                <w:szCs w:val="22"/>
              </w:rPr>
              <w:t xml:space="preserve">3 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сайте профессиональной образовательной организации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Правительства РФ от 20.10.2021 № 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1802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"Об утверждении Правил размещения на официальном сайте образо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средствах массовой информации</w:t>
            </w:r>
            <w:r/>
          </w:p>
        </w:tc>
        <w:tc>
          <w:tcPr>
            <w:tcW w:w="31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необходимости обязательного предварительного медицинского осмотра; информация о наличии общежития; контактная информация</w:t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в справочниках, буклетах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образовательной организации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 мере необходимости</w:t>
            </w:r>
            <w:r/>
          </w:p>
        </w:tc>
      </w:tr>
      <w:tr>
        <w:trPr/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Профориентационная работа в школах</w:t>
            </w:r>
            <w:r/>
          </w:p>
        </w:tc>
        <w:tc>
          <w:tcPr>
            <w:tcW w:w="319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r>
            <w:r/>
          </w:p>
        </w:tc>
        <w:tc>
          <w:tcPr>
            <w:tcW w:w="31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20"/>
              </w:rPr>
              <w:t xml:space="preserve">Постоянно в течение года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  <w:br w:type="page" w:clear="all"/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Часть </w:t>
      </w:r>
      <w:r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 xml:space="preserve">III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Прочие сведения о государственном задании</w:t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5"/>
        <w:jc w:val="center"/>
        <w:rPr>
          <w:color w:val="000000" w:themeColor="text1"/>
        </w:rPr>
      </w:pPr>
      <w:r>
        <w:rPr>
          <w:color w:val="000000" w:themeColor="text1"/>
        </w:rPr>
      </w:r>
      <w:r/>
    </w:p>
    <w:p>
      <w:pPr>
        <w:pStyle w:val="934"/>
        <w:numPr>
          <w:ilvl w:val="0"/>
          <w:numId w:val="15"/>
        </w:numPr>
        <w:ind w:left="284" w:hanging="284"/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Досрочное прекращение государственного задания возможно при следующих условиях: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ликвидации, реорганизации профессионального образовательного учреждения;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исключение государственной услуги из Базового (отраслевого) или регионального перечня государственных услуг (работ);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- иные основания, предусмотренные законодательством.</w:t>
      </w:r>
      <w:r/>
    </w:p>
    <w:p>
      <w:pPr>
        <w:contextualSpacing/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2.  Иная информация, необходимая для выполнения (контроля за выполнением)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  <w:r/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 w:themeColor="text1"/>
        </w:rPr>
      </w:pPr>
      <w:r>
        <w:rPr>
          <w:rFonts w:ascii="Times New Roman" w:hAnsi="Times New Roman" w:eastAsia="Calibri" w:cs="Times New Roman"/>
          <w:color w:val="000000" w:themeColor="text1"/>
        </w:rPr>
        <w:t xml:space="preserve">Иная информация не требуется.</w:t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3. Порядок контроля за выполнением государственного задания</w:t>
      </w:r>
      <w:r/>
    </w:p>
    <w:tbl>
      <w:tblPr>
        <w:tblW w:w="0" w:type="auto"/>
        <w:tblInd w:w="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  <w:r/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  <w:r/>
          </w:p>
        </w:tc>
      </w:tr>
      <w:tr>
        <w:trPr/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Ежеквартально, до 10 числа месяца, следующего за отчетным кварталом</w:t>
            </w:r>
            <w:r/>
          </w:p>
        </w:tc>
        <w:tc>
          <w:tcPr>
            <w:tcW w:w="321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Calibri" w:cs="Times New Roman"/>
                <w:color w:val="000000" w:themeColor="text1"/>
              </w:rPr>
            </w:pPr>
            <w:r>
              <w:rPr>
                <w:rFonts w:ascii="Times New Roman" w:hAnsi="Times New Roman" w:eastAsia="Calibri" w:cs="Times New Roman"/>
                <w:color w:val="000000" w:themeColor="text1"/>
              </w:rPr>
              <w:t xml:space="preserve">Министерство образования Новосибирской области</w:t>
            </w:r>
            <w:r/>
          </w:p>
        </w:tc>
      </w:tr>
    </w:tbl>
    <w:p>
      <w:pPr>
        <w:pStyle w:val="935"/>
        <w:spacing w:line="480" w:lineRule="auto"/>
        <w:rPr>
          <w:color w:val="000000" w:themeColor="text1"/>
          <w:lang w:val="en-US"/>
        </w:rPr>
      </w:pPr>
      <w:r>
        <w:rPr>
          <w:color w:val="000000" w:themeColor="text1"/>
          <w:lang w:val="en-US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</w:t>
      </w:r>
      <w:r>
        <w:rPr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Требования к отчетности о выполнении государственного задания: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4.1. Периодичность  представления  отчетов  о  выполнении государственного задания:</w:t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/>
    </w:p>
    <w:p>
      <w:pPr>
        <w:pStyle w:val="935"/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Ежеквартально.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Ежеквартально до 10 числа месяца, следующего за отчётным, по итогам года - до 20 января года, следующего за отчетным.</w:t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eastAsia="Calibri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Calibri" w:cs="Times New Roman"/>
          <w:color w:val="000000" w:themeColor="text1"/>
          <w:sz w:val="22"/>
          <w:szCs w:val="22"/>
        </w:rPr>
        <w:t xml:space="preserve"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  <w:r/>
    </w:p>
    <w:p>
      <w:pPr>
        <w:pStyle w:val="935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/>
    </w:p>
    <w:p>
      <w:pPr>
        <w:pStyle w:val="935"/>
        <w:rPr>
          <w:color w:val="000000" w:themeColor="text1"/>
          <w:sz w:val="28"/>
          <w:lang w:val="en-US"/>
        </w:rPr>
      </w:pPr>
      <w:r>
        <w:rPr>
          <w:rFonts w:ascii="Times New Roman" w:hAnsi="Times New Roman" w:eastAsia="Times New Roman" w:cs="Times New Roman"/>
          <w:color w:val="000000" w:themeColor="text1"/>
          <w:sz w:val="22"/>
          <w:szCs w:val="22"/>
        </w:rPr>
        <w:t xml:space="preserve">Иные показатели не требуются.</w:t>
      </w:r>
      <w:r/>
    </w:p>
    <w:sectPr>
      <w:headerReference w:type="default" r:id="rId11"/>
      <w:footnotePr/>
      <w:endnotePr/>
      <w:type w:val="nextPage"/>
      <w:pgSz w:w="11906" w:h="16838" w:orient="portrait"/>
      <w:pgMar w:top="1134" w:right="567" w:bottom="1134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Symbol">
    <w:panose1 w:val="05010000000000000000"/>
  </w:font>
  <w:font w:name="Times New Roman">
    <w:panose1 w:val="02020603050405020304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1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16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41677890"/>
      <w:docPartObj>
        <w:docPartGallery w:val="Page Numbers (Bottom of Page)"/>
        <w:docPartUnique w:val="true"/>
      </w:docPartObj>
      <w:rPr/>
    </w:sdtPr>
    <w:sdtContent>
      <w:p>
        <w:pPr>
          <w:pStyle w:val="93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13</w:t>
        </w:r>
        <w:r>
          <w:fldChar w:fldCharType="end"/>
        </w:r>
        <w:r/>
      </w:p>
    </w:sdtContent>
  </w:sdt>
  <w:p>
    <w:pPr>
      <w:pStyle w:val="93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</w:pPr>
    <w:r/>
    <w:r/>
  </w:p>
  <w:p>
    <w:pPr>
      <w:pStyle w:val="93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80110020"/>
      <w:docPartObj>
        <w:docPartGallery w:val="Page Numbers (Top of Page)"/>
        <w:docPartUnique w:val="true"/>
      </w:docPartObj>
      <w:rPr/>
    </w:sdtPr>
    <w:sdtContent>
      <w:p>
        <w:pPr>
          <w:pStyle w:val="936"/>
          <w:jc w:val="center"/>
          <w:rPr>
            <w:rFonts w:ascii="Times New Roman" w:hAnsi="Times New Roman" w:cs="Times New Roman"/>
            <w:sz w:val="20"/>
          </w:rPr>
        </w:pPr>
        <w:r>
          <w:rPr>
            <w:rFonts w:ascii="Times New Roman" w:hAnsi="Times New Roman" w:cs="Times New Roman"/>
            <w:sz w:val="20"/>
          </w:rPr>
        </w:r>
        <w:r/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6"/>
      <w:jc w:val="center"/>
      <w:rPr>
        <w:rFonts w:ascii="Times New Roman" w:hAnsi="Times New Roman" w:cs="Times New Roman"/>
        <w:sz w:val="20"/>
      </w:rPr>
    </w:pPr>
    <w:r>
      <w:rPr>
        <w:rFonts w:ascii="Times New Roman" w:hAnsi="Times New Roman" w:cs="Times New Roman"/>
        <w:sz w:val="20"/>
      </w:rPr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5" w:hanging="180"/>
      </w:pPr>
    </w:lvl>
  </w:abstractNum>
  <w:abstractNum w:abstractNumId="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744" w:hanging="103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3.%1."/>
      <w:legacy w:legacy="1" w:legacyIndent="864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2.%1."/>
      <w:legacy w:legacy="1" w:legacyIndent="86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5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4">
    <w:name w:val="Heading 1"/>
    <w:basedOn w:val="927"/>
    <w:next w:val="927"/>
    <w:link w:val="7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55">
    <w:name w:val="Heading 1 Char"/>
    <w:basedOn w:val="928"/>
    <w:link w:val="754"/>
    <w:uiPriority w:val="9"/>
    <w:rPr>
      <w:rFonts w:ascii="Arial" w:hAnsi="Arial" w:eastAsia="Arial" w:cs="Arial"/>
      <w:sz w:val="40"/>
      <w:szCs w:val="40"/>
    </w:rPr>
  </w:style>
  <w:style w:type="paragraph" w:styleId="756">
    <w:name w:val="Heading 2"/>
    <w:basedOn w:val="927"/>
    <w:next w:val="927"/>
    <w:link w:val="7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57">
    <w:name w:val="Heading 2 Char"/>
    <w:basedOn w:val="928"/>
    <w:link w:val="756"/>
    <w:uiPriority w:val="9"/>
    <w:rPr>
      <w:rFonts w:ascii="Arial" w:hAnsi="Arial" w:eastAsia="Arial" w:cs="Arial"/>
      <w:sz w:val="34"/>
    </w:rPr>
  </w:style>
  <w:style w:type="paragraph" w:styleId="758">
    <w:name w:val="Heading 3"/>
    <w:basedOn w:val="927"/>
    <w:next w:val="927"/>
    <w:link w:val="7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59">
    <w:name w:val="Heading 3 Char"/>
    <w:basedOn w:val="928"/>
    <w:link w:val="758"/>
    <w:uiPriority w:val="9"/>
    <w:rPr>
      <w:rFonts w:ascii="Arial" w:hAnsi="Arial" w:eastAsia="Arial" w:cs="Arial"/>
      <w:sz w:val="30"/>
      <w:szCs w:val="30"/>
    </w:rPr>
  </w:style>
  <w:style w:type="paragraph" w:styleId="760">
    <w:name w:val="Heading 4"/>
    <w:basedOn w:val="927"/>
    <w:next w:val="927"/>
    <w:link w:val="7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61">
    <w:name w:val="Heading 4 Char"/>
    <w:basedOn w:val="928"/>
    <w:link w:val="760"/>
    <w:uiPriority w:val="9"/>
    <w:rPr>
      <w:rFonts w:ascii="Arial" w:hAnsi="Arial" w:eastAsia="Arial" w:cs="Arial"/>
      <w:b/>
      <w:bCs/>
      <w:sz w:val="26"/>
      <w:szCs w:val="26"/>
    </w:rPr>
  </w:style>
  <w:style w:type="paragraph" w:styleId="762">
    <w:name w:val="Heading 5"/>
    <w:basedOn w:val="927"/>
    <w:next w:val="927"/>
    <w:link w:val="7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63">
    <w:name w:val="Heading 5 Char"/>
    <w:basedOn w:val="928"/>
    <w:link w:val="762"/>
    <w:uiPriority w:val="9"/>
    <w:rPr>
      <w:rFonts w:ascii="Arial" w:hAnsi="Arial" w:eastAsia="Arial" w:cs="Arial"/>
      <w:b/>
      <w:bCs/>
      <w:sz w:val="24"/>
      <w:szCs w:val="24"/>
    </w:rPr>
  </w:style>
  <w:style w:type="paragraph" w:styleId="764">
    <w:name w:val="Heading 6"/>
    <w:basedOn w:val="927"/>
    <w:next w:val="927"/>
    <w:link w:val="7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65">
    <w:name w:val="Heading 6 Char"/>
    <w:basedOn w:val="928"/>
    <w:link w:val="764"/>
    <w:uiPriority w:val="9"/>
    <w:rPr>
      <w:rFonts w:ascii="Arial" w:hAnsi="Arial" w:eastAsia="Arial" w:cs="Arial"/>
      <w:b/>
      <w:bCs/>
      <w:sz w:val="22"/>
      <w:szCs w:val="22"/>
    </w:rPr>
  </w:style>
  <w:style w:type="paragraph" w:styleId="766">
    <w:name w:val="Heading 7"/>
    <w:basedOn w:val="927"/>
    <w:next w:val="927"/>
    <w:link w:val="7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7">
    <w:name w:val="Heading 7 Char"/>
    <w:basedOn w:val="928"/>
    <w:link w:val="7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68">
    <w:name w:val="Heading 8"/>
    <w:basedOn w:val="927"/>
    <w:next w:val="927"/>
    <w:link w:val="7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69">
    <w:name w:val="Heading 8 Char"/>
    <w:basedOn w:val="928"/>
    <w:link w:val="768"/>
    <w:uiPriority w:val="9"/>
    <w:rPr>
      <w:rFonts w:ascii="Arial" w:hAnsi="Arial" w:eastAsia="Arial" w:cs="Arial"/>
      <w:i/>
      <w:iCs/>
      <w:sz w:val="22"/>
      <w:szCs w:val="22"/>
    </w:rPr>
  </w:style>
  <w:style w:type="paragraph" w:styleId="770">
    <w:name w:val="Heading 9"/>
    <w:basedOn w:val="927"/>
    <w:next w:val="927"/>
    <w:link w:val="7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71">
    <w:name w:val="Heading 9 Char"/>
    <w:basedOn w:val="928"/>
    <w:link w:val="770"/>
    <w:uiPriority w:val="9"/>
    <w:rPr>
      <w:rFonts w:ascii="Arial" w:hAnsi="Arial" w:eastAsia="Arial" w:cs="Arial"/>
      <w:i/>
      <w:iCs/>
      <w:sz w:val="21"/>
      <w:szCs w:val="21"/>
    </w:rPr>
  </w:style>
  <w:style w:type="paragraph" w:styleId="772">
    <w:name w:val="No Spacing"/>
    <w:uiPriority w:val="1"/>
    <w:qFormat/>
    <w:pPr>
      <w:spacing w:before="0" w:after="0" w:line="240" w:lineRule="auto"/>
    </w:pPr>
  </w:style>
  <w:style w:type="paragraph" w:styleId="773">
    <w:name w:val="Title"/>
    <w:basedOn w:val="927"/>
    <w:next w:val="927"/>
    <w:link w:val="77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4">
    <w:name w:val="Title Char"/>
    <w:basedOn w:val="928"/>
    <w:link w:val="773"/>
    <w:uiPriority w:val="10"/>
    <w:rPr>
      <w:sz w:val="48"/>
      <w:szCs w:val="48"/>
    </w:rPr>
  </w:style>
  <w:style w:type="paragraph" w:styleId="775">
    <w:name w:val="Subtitle"/>
    <w:basedOn w:val="927"/>
    <w:next w:val="927"/>
    <w:link w:val="776"/>
    <w:uiPriority w:val="11"/>
    <w:qFormat/>
    <w:pPr>
      <w:spacing w:before="200" w:after="200"/>
    </w:pPr>
    <w:rPr>
      <w:sz w:val="24"/>
      <w:szCs w:val="24"/>
    </w:rPr>
  </w:style>
  <w:style w:type="character" w:styleId="776">
    <w:name w:val="Subtitle Char"/>
    <w:basedOn w:val="928"/>
    <w:link w:val="775"/>
    <w:uiPriority w:val="11"/>
    <w:rPr>
      <w:sz w:val="24"/>
      <w:szCs w:val="24"/>
    </w:rPr>
  </w:style>
  <w:style w:type="paragraph" w:styleId="777">
    <w:name w:val="Quote"/>
    <w:basedOn w:val="927"/>
    <w:next w:val="927"/>
    <w:link w:val="778"/>
    <w:uiPriority w:val="29"/>
    <w:qFormat/>
    <w:pPr>
      <w:ind w:left="720" w:right="720"/>
    </w:pPr>
    <w:rPr>
      <w:i/>
    </w:rPr>
  </w:style>
  <w:style w:type="character" w:styleId="778">
    <w:name w:val="Quote Char"/>
    <w:link w:val="777"/>
    <w:uiPriority w:val="29"/>
    <w:rPr>
      <w:i/>
    </w:rPr>
  </w:style>
  <w:style w:type="paragraph" w:styleId="779">
    <w:name w:val="Intense Quote"/>
    <w:basedOn w:val="927"/>
    <w:next w:val="927"/>
    <w:link w:val="78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0">
    <w:name w:val="Intense Quote Char"/>
    <w:link w:val="779"/>
    <w:uiPriority w:val="30"/>
    <w:rPr>
      <w:i/>
    </w:rPr>
  </w:style>
  <w:style w:type="character" w:styleId="781">
    <w:name w:val="Header Char"/>
    <w:basedOn w:val="928"/>
    <w:link w:val="936"/>
    <w:uiPriority w:val="99"/>
  </w:style>
  <w:style w:type="character" w:styleId="782">
    <w:name w:val="Footer Char"/>
    <w:basedOn w:val="928"/>
    <w:link w:val="938"/>
    <w:uiPriority w:val="99"/>
  </w:style>
  <w:style w:type="paragraph" w:styleId="783">
    <w:name w:val="Caption"/>
    <w:basedOn w:val="927"/>
    <w:next w:val="9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84">
    <w:name w:val="Caption Char"/>
    <w:basedOn w:val="783"/>
    <w:link w:val="938"/>
    <w:uiPriority w:val="99"/>
  </w:style>
  <w:style w:type="table" w:styleId="785">
    <w:name w:val="Table Grid Light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86">
    <w:name w:val="Plain Table 1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7">
    <w:name w:val="Plain Table 2"/>
    <w:basedOn w:val="9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8">
    <w:name w:val="Plain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9">
    <w:name w:val="Plain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Plain Table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1">
    <w:name w:val="Grid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Grid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Grid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Grid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Grid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Grid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Grid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Grid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13">
    <w:name w:val="Grid Table 4 - Accent 1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14">
    <w:name w:val="Grid Table 4 - Accent 2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15">
    <w:name w:val="Grid Table 4 - Accent 3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16">
    <w:name w:val="Grid Table 4 - Accent 4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7">
    <w:name w:val="Grid Table 4 - Accent 5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8">
    <w:name w:val="Grid Table 4 - Accent 6"/>
    <w:basedOn w:val="9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9">
    <w:name w:val="Grid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0">
    <w:name w:val="Grid Table 5 Dark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1">
    <w:name w:val="Grid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22">
    <w:name w:val="Grid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23">
    <w:name w:val="Grid Table 5 Dark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24">
    <w:name w:val="Grid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25">
    <w:name w:val="Grid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26">
    <w:name w:val="Grid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7">
    <w:name w:val="Grid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8">
    <w:name w:val="Grid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9">
    <w:name w:val="Grid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0">
    <w:name w:val="Grid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1">
    <w:name w:val="Grid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2">
    <w:name w:val="Grid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33">
    <w:name w:val="Grid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Grid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Grid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Grid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Grid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Grid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Grid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1 Light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List Table 1 Light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List Table 1 Light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List Table 1 Light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List Table 1 Light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List Table 1 Light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List Table 1 Light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List Table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8">
    <w:name w:val="List Table 2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9">
    <w:name w:val="List Table 2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0">
    <w:name w:val="List Table 2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1">
    <w:name w:val="List Table 2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52">
    <w:name w:val="List Table 2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53">
    <w:name w:val="List Table 2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54">
    <w:name w:val="List Table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3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3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3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3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3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3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2">
    <w:name w:val="List Table 4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4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4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4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4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4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5 Dark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9">
    <w:name w:val="List Table 5 Dark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0">
    <w:name w:val="List Table 5 Dark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1">
    <w:name w:val="List Table 5 Dark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2">
    <w:name w:val="List Table 5 Dark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3">
    <w:name w:val="List Table 5 Dark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4">
    <w:name w:val="List Table 5 Dark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5">
    <w:name w:val="List Table 6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76">
    <w:name w:val="List Table 6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7">
    <w:name w:val="List Table 6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8">
    <w:name w:val="List Table 6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9">
    <w:name w:val="List Table 6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0">
    <w:name w:val="List Table 6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1">
    <w:name w:val="List Table 6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82">
    <w:name w:val="List Table 7 Colorful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83">
    <w:name w:val="List Table 7 Colorful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84">
    <w:name w:val="List Table 7 Colorful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85">
    <w:name w:val="List Table 7 Colorful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86">
    <w:name w:val="List Table 7 Colorful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7">
    <w:name w:val="List Table 7 Colorful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8">
    <w:name w:val="List Table 7 Colorful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9">
    <w:name w:val="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 &amp; Lined - Accent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7">
    <w:name w:val="Bordered &amp; Lined - Accent 1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8">
    <w:name w:val="Bordered &amp; Lined - Accent 2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9">
    <w:name w:val="Bordered &amp; Lined - Accent 3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0">
    <w:name w:val="Bordered &amp; Lined - Accent 4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1">
    <w:name w:val="Bordered &amp; Lined - Accent 5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2">
    <w:name w:val="Bordered &amp; Lined - Accent 6"/>
    <w:basedOn w:val="9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3">
    <w:name w:val="Bordered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04">
    <w:name w:val="Bordered - Accent 1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05">
    <w:name w:val="Bordered - Accent 2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06">
    <w:name w:val="Bordered - Accent 3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7">
    <w:name w:val="Bordered - Accent 4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8">
    <w:name w:val="Bordered - Accent 5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9">
    <w:name w:val="Bordered - Accent 6"/>
    <w:basedOn w:val="9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910">
    <w:name w:val="footnote text"/>
    <w:basedOn w:val="927"/>
    <w:link w:val="911"/>
    <w:uiPriority w:val="99"/>
    <w:semiHidden/>
    <w:unhideWhenUsed/>
    <w:pPr>
      <w:spacing w:after="40" w:line="240" w:lineRule="auto"/>
    </w:pPr>
    <w:rPr>
      <w:sz w:val="18"/>
    </w:rPr>
  </w:style>
  <w:style w:type="character" w:styleId="911">
    <w:name w:val="Footnote Text Char"/>
    <w:link w:val="910"/>
    <w:uiPriority w:val="99"/>
    <w:rPr>
      <w:sz w:val="18"/>
    </w:rPr>
  </w:style>
  <w:style w:type="character" w:styleId="912">
    <w:name w:val="footnote reference"/>
    <w:basedOn w:val="928"/>
    <w:uiPriority w:val="99"/>
    <w:unhideWhenUsed/>
    <w:rPr>
      <w:vertAlign w:val="superscript"/>
    </w:rPr>
  </w:style>
  <w:style w:type="paragraph" w:styleId="913">
    <w:name w:val="endnote text"/>
    <w:basedOn w:val="927"/>
    <w:link w:val="914"/>
    <w:uiPriority w:val="99"/>
    <w:semiHidden/>
    <w:unhideWhenUsed/>
    <w:pPr>
      <w:spacing w:after="0" w:line="240" w:lineRule="auto"/>
    </w:pPr>
    <w:rPr>
      <w:sz w:val="20"/>
    </w:rPr>
  </w:style>
  <w:style w:type="character" w:styleId="914">
    <w:name w:val="Endnote Text Char"/>
    <w:link w:val="913"/>
    <w:uiPriority w:val="99"/>
    <w:rPr>
      <w:sz w:val="20"/>
    </w:rPr>
  </w:style>
  <w:style w:type="character" w:styleId="915">
    <w:name w:val="endnote reference"/>
    <w:basedOn w:val="928"/>
    <w:uiPriority w:val="99"/>
    <w:semiHidden/>
    <w:unhideWhenUsed/>
    <w:rPr>
      <w:vertAlign w:val="superscript"/>
    </w:rPr>
  </w:style>
  <w:style w:type="paragraph" w:styleId="916">
    <w:name w:val="toc 1"/>
    <w:basedOn w:val="927"/>
    <w:next w:val="927"/>
    <w:uiPriority w:val="39"/>
    <w:unhideWhenUsed/>
    <w:pPr>
      <w:ind w:left="0" w:right="0" w:firstLine="0"/>
      <w:spacing w:after="57"/>
    </w:pPr>
  </w:style>
  <w:style w:type="paragraph" w:styleId="917">
    <w:name w:val="toc 2"/>
    <w:basedOn w:val="927"/>
    <w:next w:val="927"/>
    <w:uiPriority w:val="39"/>
    <w:unhideWhenUsed/>
    <w:pPr>
      <w:ind w:left="283" w:right="0" w:firstLine="0"/>
      <w:spacing w:after="57"/>
    </w:pPr>
  </w:style>
  <w:style w:type="paragraph" w:styleId="918">
    <w:name w:val="toc 3"/>
    <w:basedOn w:val="927"/>
    <w:next w:val="927"/>
    <w:uiPriority w:val="39"/>
    <w:unhideWhenUsed/>
    <w:pPr>
      <w:ind w:left="567" w:right="0" w:firstLine="0"/>
      <w:spacing w:after="57"/>
    </w:pPr>
  </w:style>
  <w:style w:type="paragraph" w:styleId="919">
    <w:name w:val="toc 4"/>
    <w:basedOn w:val="927"/>
    <w:next w:val="927"/>
    <w:uiPriority w:val="39"/>
    <w:unhideWhenUsed/>
    <w:pPr>
      <w:ind w:left="850" w:right="0" w:firstLine="0"/>
      <w:spacing w:after="57"/>
    </w:pPr>
  </w:style>
  <w:style w:type="paragraph" w:styleId="920">
    <w:name w:val="toc 5"/>
    <w:basedOn w:val="927"/>
    <w:next w:val="927"/>
    <w:uiPriority w:val="39"/>
    <w:unhideWhenUsed/>
    <w:pPr>
      <w:ind w:left="1134" w:right="0" w:firstLine="0"/>
      <w:spacing w:after="57"/>
    </w:pPr>
  </w:style>
  <w:style w:type="paragraph" w:styleId="921">
    <w:name w:val="toc 6"/>
    <w:basedOn w:val="927"/>
    <w:next w:val="927"/>
    <w:uiPriority w:val="39"/>
    <w:unhideWhenUsed/>
    <w:pPr>
      <w:ind w:left="1417" w:right="0" w:firstLine="0"/>
      <w:spacing w:after="57"/>
    </w:pPr>
  </w:style>
  <w:style w:type="paragraph" w:styleId="922">
    <w:name w:val="toc 7"/>
    <w:basedOn w:val="927"/>
    <w:next w:val="927"/>
    <w:uiPriority w:val="39"/>
    <w:unhideWhenUsed/>
    <w:pPr>
      <w:ind w:left="1701" w:right="0" w:firstLine="0"/>
      <w:spacing w:after="57"/>
    </w:pPr>
  </w:style>
  <w:style w:type="paragraph" w:styleId="923">
    <w:name w:val="toc 8"/>
    <w:basedOn w:val="927"/>
    <w:next w:val="927"/>
    <w:uiPriority w:val="39"/>
    <w:unhideWhenUsed/>
    <w:pPr>
      <w:ind w:left="1984" w:right="0" w:firstLine="0"/>
      <w:spacing w:after="57"/>
    </w:pPr>
  </w:style>
  <w:style w:type="paragraph" w:styleId="924">
    <w:name w:val="toc 9"/>
    <w:basedOn w:val="927"/>
    <w:next w:val="927"/>
    <w:uiPriority w:val="39"/>
    <w:unhideWhenUsed/>
    <w:pPr>
      <w:ind w:left="2268" w:right="0" w:firstLine="0"/>
      <w:spacing w:after="57"/>
    </w:pPr>
  </w:style>
  <w:style w:type="paragraph" w:styleId="925">
    <w:name w:val="TOC Heading"/>
    <w:uiPriority w:val="39"/>
    <w:unhideWhenUsed/>
  </w:style>
  <w:style w:type="paragraph" w:styleId="926">
    <w:name w:val="table of figures"/>
    <w:basedOn w:val="927"/>
    <w:next w:val="927"/>
    <w:uiPriority w:val="99"/>
    <w:unhideWhenUsed/>
    <w:pPr>
      <w:spacing w:after="0" w:afterAutospacing="0"/>
    </w:pPr>
  </w:style>
  <w:style w:type="paragraph" w:styleId="927" w:default="1">
    <w:name w:val="Normal"/>
    <w:qFormat/>
  </w:style>
  <w:style w:type="character" w:styleId="928" w:default="1">
    <w:name w:val="Default Paragraph Font"/>
    <w:uiPriority w:val="1"/>
    <w:semiHidden/>
    <w:unhideWhenUsed/>
  </w:style>
  <w:style w:type="table" w:styleId="9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0" w:default="1">
    <w:name w:val="No List"/>
    <w:uiPriority w:val="99"/>
    <w:semiHidden/>
    <w:unhideWhenUsed/>
  </w:style>
  <w:style w:type="character" w:styleId="931">
    <w:name w:val="Hyperlink"/>
    <w:basedOn w:val="928"/>
    <w:uiPriority w:val="99"/>
    <w:unhideWhenUsed/>
    <w:rPr>
      <w:color w:val="0000ff" w:themeColor="hyperlink"/>
      <w:u w:val="single"/>
    </w:rPr>
  </w:style>
  <w:style w:type="paragraph" w:styleId="932">
    <w:name w:val="Balloon Text"/>
    <w:basedOn w:val="927"/>
    <w:link w:val="9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33" w:customStyle="1">
    <w:name w:val="Текст выноски Знак"/>
    <w:basedOn w:val="928"/>
    <w:link w:val="932"/>
    <w:uiPriority w:val="99"/>
    <w:semiHidden/>
    <w:rPr>
      <w:rFonts w:ascii="Tahoma" w:hAnsi="Tahoma" w:cs="Tahoma"/>
      <w:sz w:val="16"/>
      <w:szCs w:val="16"/>
    </w:rPr>
  </w:style>
  <w:style w:type="paragraph" w:styleId="934">
    <w:name w:val="List Paragraph"/>
    <w:basedOn w:val="927"/>
    <w:uiPriority w:val="34"/>
    <w:qFormat/>
    <w:pPr>
      <w:contextualSpacing/>
      <w:ind w:left="720"/>
    </w:pPr>
  </w:style>
  <w:style w:type="paragraph" w:styleId="935" w:customStyle="1">
    <w:name w:val="ConsPlusNonformat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936">
    <w:name w:val="Header"/>
    <w:basedOn w:val="927"/>
    <w:link w:val="93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7" w:customStyle="1">
    <w:name w:val="Верхний колонтитул Знак"/>
    <w:basedOn w:val="928"/>
    <w:link w:val="936"/>
    <w:uiPriority w:val="99"/>
  </w:style>
  <w:style w:type="paragraph" w:styleId="938">
    <w:name w:val="Footer"/>
    <w:basedOn w:val="927"/>
    <w:link w:val="93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39" w:customStyle="1">
    <w:name w:val="Нижний колонтитул Знак"/>
    <w:basedOn w:val="928"/>
    <w:link w:val="938"/>
    <w:uiPriority w:val="99"/>
  </w:style>
  <w:style w:type="table" w:styleId="940">
    <w:name w:val="Table Grid"/>
    <w:basedOn w:val="92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1" w:customStyle="1">
    <w:name w:val="ConsPlusNormal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customXml" Target="../customXml/item1.xml" /><Relationship Id="rId15" Type="http://schemas.openxmlformats.org/officeDocument/2006/relationships/hyperlink" Target="consultantplus://offline/ref=DC41E2772540CE89436B920E86BEF4F9345B73C5B114AE3A8765A72052AFVDF" TargetMode="External"/><Relationship Id="rId16" Type="http://schemas.openxmlformats.org/officeDocument/2006/relationships/hyperlink" Target="consultantplus://offline/ref=DC41E2772540CE89436B920E86BEF4F9345B73C5B114AE3A8765A72052AFV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039C7D-978E-4341-A939-BFCEDD00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Р7-Офис/7.3.0.0</Application>
  <Company>Департамент труда и занятости населения НСО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23</cp:revision>
  <dcterms:created xsi:type="dcterms:W3CDTF">2020-12-02T07:32:00Z</dcterms:created>
  <dcterms:modified xsi:type="dcterms:W3CDTF">2023-11-03T03:20:24Z</dcterms:modified>
</cp:coreProperties>
</file>