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21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42</w:t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2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21"/>
        <w:jc w:val="center"/>
      </w:pPr>
      <w:r>
        <w:t xml:space="preserve">                                    </w:t>
      </w:r>
      <w:r/>
    </w:p>
    <w:tbl>
      <w:tblPr>
        <w:tblStyle w:val="91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2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авиационный технический колледж имени Б.С. Галущака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сводному</w:t>
            </w:r>
            <w:r/>
          </w:p>
          <w:p>
            <w:pPr>
              <w:jc w:val="center"/>
            </w:pPr>
            <w: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1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</w:pPr>
            <w:r>
              <w:t xml:space="preserve">Код по</w:t>
            </w:r>
            <w:r/>
          </w:p>
          <w:p>
            <w:pPr>
              <w:jc w:val="center"/>
            </w:pPr>
            <w:r>
              <w:t xml:space="preserve">базовому</w:t>
            </w:r>
            <w:r/>
          </w:p>
          <w:p>
            <w:pPr>
              <w:jc w:val="center"/>
            </w:pPr>
            <w:r>
              <w:t xml:space="preserve">(отраслевому)</w:t>
            </w:r>
            <w:r/>
          </w:p>
          <w:p>
            <w:pPr>
              <w:jc w:val="center"/>
            </w:pPr>
            <w:r>
              <w:t xml:space="preserve">перечню или региональному перечню</w:t>
            </w:r>
            <w:r/>
          </w:p>
          <w:p>
            <w:pPr>
              <w:pStyle w:val="92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21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2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</w:rPr>
        <w:sectPr>
          <w:headerReference w:type="default" r:id="rId9"/>
          <w:footerReference w:type="default" r:id="rId11"/>
          <w:footerReference w:type="first" r:id="rId12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21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3"/>
        <w:gridCol w:w="852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6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826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8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/>
          </w:p>
        </w:tc>
        <w:tc>
          <w:tcPr>
            <w:tcW w:w="85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852101О.99.0.ББ28ЧУ32002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852101О.99.0.ББ28ШЕ44002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852101О.99.0.ББ28ШК76002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Эксплуатация беспилотных авиационных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852101О.99.0.ББ28ЦЯ12002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852101О.99.0.ББ28ЧК92002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852101О.99.0.ББ28ВЛ24000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Техническое обслуживание и ремонт радиоэлектронной техники 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852101О.99.0.ББ28ВЛ48000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9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6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852101О.99.0.ББ28ВИ08000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11.02.01 Радиоаппаратостроение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78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val="en-US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852100О.99.0.БО84ВС72000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852100О.99.0.БО84ВС96000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Среднее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2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100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852101О.99.0.ББ28ВУ88000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1.Сохранность контингента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Процент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744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95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1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852101О.99.0.ББ28ВП56000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Радиотехнические комплексы и системы управления космических летательных аппаратов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/>
          </w:p>
        </w:tc>
        <w:tc>
          <w:tcPr>
            <w:tcW w:w="85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lang w:val="en-US"/>
              </w:rPr>
            </w:pPr>
            <w:r>
              <w:rPr>
                <w:color w:val="000000" w:themeColor="text1"/>
                <w:sz w:val="18"/>
                <w:lang w:val="en-US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/>
          </w:p>
        </w:tc>
      </w:tr>
    </w:tbl>
    <w:p>
      <w:pPr>
        <w:ind w:left="-567"/>
        <w:jc w:val="both"/>
        <w:rPr>
          <w:color w:val="ff0000"/>
        </w:rPr>
      </w:pPr>
      <w:r>
        <w:rPr>
          <w:color w:val="ff0000"/>
        </w:rPr>
      </w:r>
      <w:r/>
    </w:p>
    <w:p>
      <w:pPr>
        <w:ind w:left="-567"/>
        <w:jc w:val="both"/>
        <w:rPr>
          <w:color w:val="ff0000"/>
        </w:rPr>
      </w:pPr>
      <w:r>
        <w:rPr>
          <w:color w:val="ff0000"/>
        </w:rPr>
      </w:r>
      <w:r/>
    </w:p>
    <w:p>
      <w:pPr>
        <w:ind w:left="-567"/>
        <w:jc w:val="both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/>
          </w:p>
        </w:tc>
      </w:tr>
      <w:tr>
        <w:trPr>
          <w:trHeight w:val="85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852101О.99.0.ББ28ЕЭ84000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852101О.99.0.ББ28ЕЯ76000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15.02.09 Аддитивные технологии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852101О.99.0.ББ28ЧУ32002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15.02.12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промышленного оборудования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852101О.99.0.ББ28МЛ96000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25.02.03 Техническая эксплуатация электрифицированных и пилотажно-навигационных комплексов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852101О.99.0.ББ28ШЕ44002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852101О.99.0.ББ28ШЕ68002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25.02.06 Производство и обслуживание авиационной техники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852101О.99.0.ББ28ШК76002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25.02.08 Эксплуатация беспилотных авиационных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852101О.99.0.ББ28ЦЮ88002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6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852101О.99.0.ББ28ЦЯ12002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09.02.07 Информационные системы и программирование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852101О.99.0.ББ28ЧК68002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852101О.99.0.ББ28ЧК92002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12.02.09 Производство и эксплуатация оптических и оптико-электронных приборов и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2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852101О.99.0.ББ28ОТ60000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31.02.04 Медицинская оптика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117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7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7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852101О.99.0.ББ28ВЛ48000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11.02.02 Техническое обслуживание и ремонт радиоэлектронной техники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852101О.99.0.ББ28ВИ08000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11.02.01 Радиоаппаратостроение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852100О.99.0.БО84ВС72000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852100О.99.0.БО84ВС96000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11.02.17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Разработка электронных устройств и систем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852101О.99.0.ББ28ВУ88000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11.02.06 Техническая эксплуатация транспортного радиоэлектронного оборудования (по видам транспорта)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852101О.99.0.ББ28ЧЗ52002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Не указано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Основное общее образование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Очная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Численность обучающихся (человек)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человек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792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</w:rPr>
              <w:t xml:space="preserve">147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147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147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10</w:t>
            </w:r>
            <w:r>
              <w:rPr>
                <w:color w:val="00b05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b050"/>
                <w:sz w:val="18"/>
              </w:rPr>
            </w:pPr>
            <w:r>
              <w:rPr>
                <w:color w:val="00b050"/>
                <w:sz w:val="18"/>
              </w:rPr>
              <w:t xml:space="preserve">-</w:t>
            </w:r>
            <w:r>
              <w:rPr>
                <w:color w:val="00b050"/>
              </w:rPr>
            </w:r>
            <w:r/>
          </w:p>
        </w:tc>
      </w:tr>
      <w:tr>
        <w:trPr>
          <w:trHeight w:val="42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852101О.99.0.ББ28ЧЗ76002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 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852101О.99.0.ББ28ВП56000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11.02.04 Радиотехнические комплексы и системы управления космических летательных аппаратов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</w:rPr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852101О.99.0.ББ28БП48000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21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21"/>
        <w:jc w:val="center"/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/>
      <w:r/>
    </w:p>
    <w:p>
      <w:pPr>
        <w:pStyle w:val="921"/>
        <w:jc w:val="center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</w:r>
      <w:r/>
    </w:p>
    <w:p>
      <w:pPr>
        <w:jc w:val="both"/>
      </w:pPr>
      <w: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</w:pPr>
      <w:r/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</w:pPr>
            <w: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</w:pPr>
            <w: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</w:pPr>
            <w: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</w:pPr>
            <w: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</w:pPr>
            <w: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outlineLvl w:val="0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r/>
            <w:r/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 Порядок оказания государственной услуги:</w:t>
      </w:r>
      <w:r/>
    </w:p>
    <w:p>
      <w:pPr>
        <w:jc w:val="both"/>
      </w:pPr>
      <w:r>
        <w:t xml:space="preserve">5.1. Нормативные правовые акты, регулирующие порядок оказания государственной услуги</w:t>
      </w:r>
      <w:r>
        <w:t xml:space="preserve">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color w:val="000000"/>
              </w:rPr>
              <w:t xml:space="preserve">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</w:pPr>
      <w:r/>
      <w:r/>
    </w:p>
    <w:p>
      <w:pPr>
        <w:jc w:val="both"/>
      </w:pPr>
      <w:r>
        <w:t xml:space="preserve">5.2.  Порядок </w:t>
      </w:r>
      <w:r>
        <w:t xml:space="preserve"> информирования  потенциальных </w:t>
      </w:r>
      <w:r>
        <w:t xml:space="preserve">потребителей  государственной услуги:</w:t>
      </w:r>
      <w:r/>
    </w:p>
    <w:p>
      <w:pPr>
        <w:jc w:val="both"/>
      </w:pPr>
      <w:r/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26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Правила пр</w:t>
            </w:r>
            <w:r>
              <w:rPr>
                <w:color w:val="000000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Постоянно в течение года</w:t>
            </w:r>
            <w:r/>
          </w:p>
        </w:tc>
      </w:tr>
    </w:tbl>
    <w:p>
      <w:pPr>
        <w:jc w:val="both"/>
      </w:pPr>
      <w:r/>
      <w:r/>
    </w:p>
    <w:p>
      <w:pPr>
        <w:jc w:val="center"/>
      </w:pPr>
      <w:r/>
      <w:r/>
    </w:p>
    <w:p>
      <w:pPr>
        <w:jc w:val="center"/>
      </w:pPr>
      <w:r/>
      <w:r/>
    </w:p>
    <w:p>
      <w:pPr>
        <w:spacing w:after="200" w:line="276" w:lineRule="auto"/>
      </w:pPr>
      <w:r>
        <w:br w:type="page" w:clear="all"/>
      </w:r>
      <w:r/>
    </w:p>
    <w:p>
      <w:pPr>
        <w:jc w:val="center"/>
      </w:pPr>
      <w:r>
        <w:t xml:space="preserve">Часть </w:t>
      </w:r>
      <w:r>
        <w:rPr>
          <w:lang w:val="en-US"/>
        </w:rPr>
        <w:t xml:space="preserve">III</w:t>
      </w:r>
      <w:r>
        <w:t xml:space="preserve">. Прочие сведения о государственном задании</w:t>
      </w:r>
      <w:r/>
    </w:p>
    <w:p>
      <w:pPr>
        <w:pStyle w:val="921"/>
        <w:jc w:val="center"/>
      </w:pPr>
      <w:r/>
      <w:r/>
    </w:p>
    <w:p>
      <w:pPr>
        <w:pStyle w:val="921"/>
        <w:jc w:val="center"/>
      </w:pPr>
      <w:r/>
      <w:r/>
    </w:p>
    <w:p>
      <w:pPr>
        <w:pStyle w:val="920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rPr>
          <w:color w:val="000000"/>
        </w:rPr>
      </w:pPr>
      <w:r>
        <w:rPr>
          <w:color w:val="000000"/>
        </w:rPr>
      </w:r>
      <w:r/>
    </w:p>
    <w:p>
      <w:pPr>
        <w:rPr>
          <w:color w:val="000000"/>
        </w:rPr>
      </w:pPr>
      <w:r>
        <w:rPr>
          <w:color w:val="000000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rPr>
          <w:color w:val="000000"/>
        </w:rPr>
      </w:pPr>
      <w:r>
        <w:rPr>
          <w:color w:val="000000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rPr>
          <w:color w:val="000000"/>
        </w:rPr>
      </w:pPr>
      <w:r>
        <w:rPr>
          <w:color w:val="000000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rPr>
          <w:color w:val="000000"/>
        </w:rPr>
      </w:pPr>
      <w:r>
        <w:rPr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rPr>
          <w:color w:val="000000"/>
        </w:rPr>
      </w:pPr>
      <w:r>
        <w:rPr>
          <w:color w:val="000000"/>
        </w:rPr>
        <w:t xml:space="preserve">- иные основания, предусмотренные законодательством.</w:t>
      </w:r>
      <w:r/>
    </w:p>
    <w:p>
      <w:pPr>
        <w:contextualSpacing/>
        <w:rPr>
          <w:color w:val="000000"/>
        </w:rPr>
      </w:pPr>
      <w:r>
        <w:rPr>
          <w:color w:val="000000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2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/>
    </w:p>
    <w:p>
      <w:pPr>
        <w:jc w:val="both"/>
        <w:rPr>
          <w:rFonts w:eastAsia="Calibri"/>
        </w:rPr>
      </w:pPr>
      <w:r>
        <w:rPr>
          <w:rFonts w:eastAsia="Calibri"/>
        </w:rPr>
        <w:t xml:space="preserve">Иная информация не требуется.</w:t>
      </w:r>
      <w:r/>
    </w:p>
    <w:p>
      <w:pPr>
        <w:pStyle w:val="92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</w:pPr>
            <w:r>
              <w:t xml:space="preserve">за выполнением </w:t>
            </w:r>
            <w:r/>
          </w:p>
          <w:p>
            <w:pPr>
              <w:jc w:val="center"/>
            </w:pPr>
            <w: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</w:pPr>
            <w: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rPr>
                <w:rFonts w:eastAsia="Calibri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eastAsia="Calibri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21"/>
        <w:spacing w:line="480" w:lineRule="auto"/>
        <w:rPr>
          <w:lang w:val="en-US"/>
        </w:rPr>
      </w:pPr>
      <w:r>
        <w:rPr>
          <w:lang w:val="en-US"/>
        </w:rPr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rPr>
          <w:color w:val="000000"/>
        </w:rPr>
      </w:pPr>
      <w:r>
        <w:rPr>
          <w:color w:val="000000"/>
        </w:rPr>
        <w:t xml:space="preserve">4.1. Периодичность  представления  отчетов  о  выполнении государственного задания</w:t>
      </w:r>
      <w:r>
        <w:rPr>
          <w:color w:val="000000"/>
        </w:rPr>
        <w:t xml:space="preserve">:</w:t>
      </w:r>
      <w:r/>
    </w:p>
    <w:p>
      <w:pPr>
        <w:rPr>
          <w:color w:val="000000"/>
        </w:rPr>
      </w:pPr>
      <w:r>
        <w:rPr>
          <w:color w:val="000000"/>
        </w:rPr>
      </w:r>
      <w:r/>
    </w:p>
    <w:p>
      <w:pPr>
        <w:pStyle w:val="921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Ежеквартально.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color w:val="000000"/>
          <w:sz w:val="22"/>
          <w:szCs w:val="22"/>
        </w:rPr>
        <w:t xml:space="preserve">Ежеквартально до 10 числа</w:t>
      </w:r>
      <w:r>
        <w:rPr>
          <w:rFonts w:ascii="Times New Roman" w:hAnsi="Times New Roman" w:eastAsia="Calibri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  <w:r/>
    </w:p>
    <w:p>
      <w:pPr>
        <w:pStyle w:val="921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2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21"/>
        <w:rPr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Иные показатели не требуются.».</w:t>
      </w:r>
      <w:r/>
    </w:p>
    <w:p>
      <w:pPr>
        <w:ind w:left="2835" w:hanging="2835"/>
        <w:jc w:val="both"/>
      </w:pPr>
      <w:r/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24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2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24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</w:pPr>
    <w:r/>
    <w:r/>
  </w:p>
  <w:p>
    <w:pPr>
      <w:pStyle w:val="92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2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38">
    <w:name w:val="Heading 1"/>
    <w:basedOn w:val="910"/>
    <w:next w:val="910"/>
    <w:link w:val="73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9">
    <w:name w:val="Heading 1 Char"/>
    <w:basedOn w:val="912"/>
    <w:link w:val="738"/>
    <w:uiPriority w:val="9"/>
    <w:rPr>
      <w:rFonts w:ascii="Arial" w:hAnsi="Arial" w:eastAsia="Arial" w:cs="Arial"/>
      <w:sz w:val="40"/>
      <w:szCs w:val="40"/>
    </w:rPr>
  </w:style>
  <w:style w:type="paragraph" w:styleId="740">
    <w:name w:val="Heading 2"/>
    <w:basedOn w:val="910"/>
    <w:next w:val="910"/>
    <w:link w:val="74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1">
    <w:name w:val="Heading 2 Char"/>
    <w:basedOn w:val="912"/>
    <w:link w:val="740"/>
    <w:uiPriority w:val="9"/>
    <w:rPr>
      <w:rFonts w:ascii="Arial" w:hAnsi="Arial" w:eastAsia="Arial" w:cs="Arial"/>
      <w:sz w:val="34"/>
    </w:rPr>
  </w:style>
  <w:style w:type="character" w:styleId="742">
    <w:name w:val="Heading 3 Char"/>
    <w:basedOn w:val="912"/>
    <w:link w:val="911"/>
    <w:uiPriority w:val="9"/>
    <w:rPr>
      <w:rFonts w:ascii="Arial" w:hAnsi="Arial" w:eastAsia="Arial" w:cs="Arial"/>
      <w:sz w:val="30"/>
      <w:szCs w:val="30"/>
    </w:rPr>
  </w:style>
  <w:style w:type="paragraph" w:styleId="743">
    <w:name w:val="Heading 4"/>
    <w:basedOn w:val="910"/>
    <w:next w:val="910"/>
    <w:link w:val="74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4">
    <w:name w:val="Heading 4 Char"/>
    <w:basedOn w:val="912"/>
    <w:link w:val="743"/>
    <w:uiPriority w:val="9"/>
    <w:rPr>
      <w:rFonts w:ascii="Arial" w:hAnsi="Arial" w:eastAsia="Arial" w:cs="Arial"/>
      <w:b/>
      <w:bCs/>
      <w:sz w:val="26"/>
      <w:szCs w:val="26"/>
    </w:rPr>
  </w:style>
  <w:style w:type="paragraph" w:styleId="745">
    <w:name w:val="Heading 5"/>
    <w:basedOn w:val="910"/>
    <w:next w:val="910"/>
    <w:link w:val="74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46">
    <w:name w:val="Heading 5 Char"/>
    <w:basedOn w:val="912"/>
    <w:link w:val="745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10"/>
    <w:next w:val="910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basedOn w:val="912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10"/>
    <w:next w:val="910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basedOn w:val="912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10"/>
    <w:next w:val="910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basedOn w:val="912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10"/>
    <w:next w:val="910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basedOn w:val="912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  <w:pPr>
      <w:spacing w:before="0" w:after="0" w:line="240" w:lineRule="auto"/>
    </w:pPr>
  </w:style>
  <w:style w:type="paragraph" w:styleId="756">
    <w:name w:val="Title"/>
    <w:basedOn w:val="910"/>
    <w:next w:val="910"/>
    <w:link w:val="7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7">
    <w:name w:val="Title Char"/>
    <w:basedOn w:val="912"/>
    <w:link w:val="756"/>
    <w:uiPriority w:val="10"/>
    <w:rPr>
      <w:sz w:val="48"/>
      <w:szCs w:val="48"/>
    </w:rPr>
  </w:style>
  <w:style w:type="paragraph" w:styleId="758">
    <w:name w:val="Subtitle"/>
    <w:basedOn w:val="910"/>
    <w:next w:val="910"/>
    <w:link w:val="759"/>
    <w:uiPriority w:val="11"/>
    <w:qFormat/>
    <w:pPr>
      <w:spacing w:before="200" w:after="200"/>
    </w:pPr>
    <w:rPr>
      <w:sz w:val="24"/>
      <w:szCs w:val="24"/>
    </w:rPr>
  </w:style>
  <w:style w:type="character" w:styleId="759">
    <w:name w:val="Subtitle Char"/>
    <w:basedOn w:val="912"/>
    <w:link w:val="758"/>
    <w:uiPriority w:val="11"/>
    <w:rPr>
      <w:sz w:val="24"/>
      <w:szCs w:val="24"/>
    </w:rPr>
  </w:style>
  <w:style w:type="paragraph" w:styleId="760">
    <w:name w:val="Quote"/>
    <w:basedOn w:val="910"/>
    <w:next w:val="910"/>
    <w:link w:val="761"/>
    <w:uiPriority w:val="29"/>
    <w:qFormat/>
    <w:pPr>
      <w:ind w:left="720" w:right="720"/>
    </w:pPr>
    <w:rPr>
      <w:i/>
    </w:rPr>
  </w:style>
  <w:style w:type="character" w:styleId="761">
    <w:name w:val="Quote Char"/>
    <w:link w:val="760"/>
    <w:uiPriority w:val="29"/>
    <w:rPr>
      <w:i/>
    </w:rPr>
  </w:style>
  <w:style w:type="paragraph" w:styleId="762">
    <w:name w:val="Intense Quote"/>
    <w:basedOn w:val="910"/>
    <w:next w:val="910"/>
    <w:link w:val="7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3">
    <w:name w:val="Intense Quote Char"/>
    <w:link w:val="762"/>
    <w:uiPriority w:val="30"/>
    <w:rPr>
      <w:i/>
    </w:rPr>
  </w:style>
  <w:style w:type="character" w:styleId="764">
    <w:name w:val="Header Char"/>
    <w:basedOn w:val="912"/>
    <w:link w:val="922"/>
    <w:uiPriority w:val="99"/>
  </w:style>
  <w:style w:type="character" w:styleId="765">
    <w:name w:val="Footer Char"/>
    <w:basedOn w:val="912"/>
    <w:link w:val="924"/>
    <w:uiPriority w:val="99"/>
  </w:style>
  <w:style w:type="paragraph" w:styleId="766">
    <w:name w:val="Caption"/>
    <w:basedOn w:val="910"/>
    <w:next w:val="91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7">
    <w:name w:val="Caption Char"/>
    <w:basedOn w:val="766"/>
    <w:link w:val="924"/>
    <w:uiPriority w:val="99"/>
  </w:style>
  <w:style w:type="table" w:styleId="768">
    <w:name w:val="Table Grid Light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>
    <w:name w:val="Plain Table 1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2"/>
    <w:basedOn w:val="9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1">
    <w:name w:val="Plain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2">
    <w:name w:val="Plain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Plain Table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4">
    <w:name w:val="Grid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Grid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6">
    <w:name w:val="Grid Table 4 - Accent 1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7">
    <w:name w:val="Grid Table 4 - Accent 2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8">
    <w:name w:val="Grid Table 4 - Accent 3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9">
    <w:name w:val="Grid Table 4 - Accent 4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0">
    <w:name w:val="Grid Table 4 - Accent 5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1">
    <w:name w:val="Grid Table 4 - Accent 6"/>
    <w:basedOn w:val="9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2">
    <w:name w:val="Grid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3">
    <w:name w:val="Grid Table 5 Dark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5">
    <w:name w:val="Grid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6">
    <w:name w:val="Grid Table 5 Dark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8">
    <w:name w:val="Grid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9">
    <w:name w:val="Grid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10">
    <w:name w:val="Grid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1">
    <w:name w:val="Grid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2">
    <w:name w:val="Grid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3">
    <w:name w:val="Grid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4">
    <w:name w:val="Grid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6">
    <w:name w:val="Grid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1">
    <w:name w:val="List Table 2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2">
    <w:name w:val="List Table 2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3">
    <w:name w:val="List Table 2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4">
    <w:name w:val="List Table 2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5">
    <w:name w:val="List Table 2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6">
    <w:name w:val="List Table 2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7">
    <w:name w:val="List Table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3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5 Dark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5 Dark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8">
    <w:name w:val="List Table 6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9">
    <w:name w:val="List Table 6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60">
    <w:name w:val="List Table 6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1">
    <w:name w:val="List Table 6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2">
    <w:name w:val="List Table 6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3">
    <w:name w:val="List Table 6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4">
    <w:name w:val="List Table 6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5">
    <w:name w:val="List Table 7 Colorful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6">
    <w:name w:val="List Table 7 Colorful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7">
    <w:name w:val="List Table 7 Colorful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8">
    <w:name w:val="List Table 7 Colorful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9">
    <w:name w:val="List Table 7 Colorful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70">
    <w:name w:val="List Table 7 Colorful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1">
    <w:name w:val="List Table 7 Colorful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2">
    <w:name w:val="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3">
    <w:name w:val="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4">
    <w:name w:val="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5">
    <w:name w:val="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6">
    <w:name w:val="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7">
    <w:name w:val="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8">
    <w:name w:val="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9">
    <w:name w:val="Bordered &amp; Lined - Accent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0">
    <w:name w:val="Bordered &amp; Lined - Accent 1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1">
    <w:name w:val="Bordered &amp; Lined - Accent 2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2">
    <w:name w:val="Bordered &amp; Lined - Accent 3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3">
    <w:name w:val="Bordered &amp; Lined - Accent 4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4">
    <w:name w:val="Bordered &amp; Lined - Accent 5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5">
    <w:name w:val="Bordered &amp; Lined - Accent 6"/>
    <w:basedOn w:val="9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6">
    <w:name w:val="Bordered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7">
    <w:name w:val="Bordered - Accent 1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8">
    <w:name w:val="Bordered - Accent 2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9">
    <w:name w:val="Bordered - Accent 3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90">
    <w:name w:val="Bordered - Accent 4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1">
    <w:name w:val="Bordered - Accent 5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2">
    <w:name w:val="Bordered - Accent 6"/>
    <w:basedOn w:val="9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3">
    <w:name w:val="footnote text"/>
    <w:basedOn w:val="910"/>
    <w:link w:val="894"/>
    <w:uiPriority w:val="99"/>
    <w:semiHidden/>
    <w:unhideWhenUsed/>
    <w:pPr>
      <w:spacing w:after="40" w:line="240" w:lineRule="auto"/>
    </w:pPr>
    <w:rPr>
      <w:sz w:val="18"/>
    </w:rPr>
  </w:style>
  <w:style w:type="character" w:styleId="894">
    <w:name w:val="Footnote Text Char"/>
    <w:link w:val="893"/>
    <w:uiPriority w:val="99"/>
    <w:rPr>
      <w:sz w:val="18"/>
    </w:rPr>
  </w:style>
  <w:style w:type="character" w:styleId="895">
    <w:name w:val="footnote reference"/>
    <w:basedOn w:val="912"/>
    <w:uiPriority w:val="99"/>
    <w:unhideWhenUsed/>
    <w:rPr>
      <w:vertAlign w:val="superscript"/>
    </w:rPr>
  </w:style>
  <w:style w:type="paragraph" w:styleId="896">
    <w:name w:val="endnote text"/>
    <w:basedOn w:val="910"/>
    <w:link w:val="897"/>
    <w:uiPriority w:val="99"/>
    <w:semiHidden/>
    <w:unhideWhenUsed/>
    <w:pPr>
      <w:spacing w:after="0" w:line="240" w:lineRule="auto"/>
    </w:pPr>
    <w:rPr>
      <w:sz w:val="20"/>
    </w:rPr>
  </w:style>
  <w:style w:type="character" w:styleId="897">
    <w:name w:val="Endnote Text Char"/>
    <w:link w:val="896"/>
    <w:uiPriority w:val="99"/>
    <w:rPr>
      <w:sz w:val="20"/>
    </w:rPr>
  </w:style>
  <w:style w:type="character" w:styleId="898">
    <w:name w:val="endnote reference"/>
    <w:basedOn w:val="912"/>
    <w:uiPriority w:val="99"/>
    <w:semiHidden/>
    <w:unhideWhenUsed/>
    <w:rPr>
      <w:vertAlign w:val="superscript"/>
    </w:rPr>
  </w:style>
  <w:style w:type="paragraph" w:styleId="899">
    <w:name w:val="toc 1"/>
    <w:basedOn w:val="910"/>
    <w:next w:val="910"/>
    <w:uiPriority w:val="39"/>
    <w:unhideWhenUsed/>
    <w:pPr>
      <w:ind w:left="0" w:right="0" w:firstLine="0"/>
      <w:spacing w:after="57"/>
    </w:pPr>
  </w:style>
  <w:style w:type="paragraph" w:styleId="900">
    <w:name w:val="toc 2"/>
    <w:basedOn w:val="910"/>
    <w:next w:val="910"/>
    <w:uiPriority w:val="39"/>
    <w:unhideWhenUsed/>
    <w:pPr>
      <w:ind w:left="283" w:right="0" w:firstLine="0"/>
      <w:spacing w:after="57"/>
    </w:pPr>
  </w:style>
  <w:style w:type="paragraph" w:styleId="901">
    <w:name w:val="toc 3"/>
    <w:basedOn w:val="910"/>
    <w:next w:val="910"/>
    <w:uiPriority w:val="39"/>
    <w:unhideWhenUsed/>
    <w:pPr>
      <w:ind w:left="567" w:right="0" w:firstLine="0"/>
      <w:spacing w:after="57"/>
    </w:pPr>
  </w:style>
  <w:style w:type="paragraph" w:styleId="902">
    <w:name w:val="toc 4"/>
    <w:basedOn w:val="910"/>
    <w:next w:val="910"/>
    <w:uiPriority w:val="39"/>
    <w:unhideWhenUsed/>
    <w:pPr>
      <w:ind w:left="850" w:right="0" w:firstLine="0"/>
      <w:spacing w:after="57"/>
    </w:pPr>
  </w:style>
  <w:style w:type="paragraph" w:styleId="903">
    <w:name w:val="toc 5"/>
    <w:basedOn w:val="910"/>
    <w:next w:val="910"/>
    <w:uiPriority w:val="39"/>
    <w:unhideWhenUsed/>
    <w:pPr>
      <w:ind w:left="1134" w:right="0" w:firstLine="0"/>
      <w:spacing w:after="57"/>
    </w:pPr>
  </w:style>
  <w:style w:type="paragraph" w:styleId="904">
    <w:name w:val="toc 6"/>
    <w:basedOn w:val="910"/>
    <w:next w:val="910"/>
    <w:uiPriority w:val="39"/>
    <w:unhideWhenUsed/>
    <w:pPr>
      <w:ind w:left="1417" w:right="0" w:firstLine="0"/>
      <w:spacing w:after="57"/>
    </w:pPr>
  </w:style>
  <w:style w:type="paragraph" w:styleId="905">
    <w:name w:val="toc 7"/>
    <w:basedOn w:val="910"/>
    <w:next w:val="910"/>
    <w:uiPriority w:val="39"/>
    <w:unhideWhenUsed/>
    <w:pPr>
      <w:ind w:left="1701" w:right="0" w:firstLine="0"/>
      <w:spacing w:after="57"/>
    </w:pPr>
  </w:style>
  <w:style w:type="paragraph" w:styleId="906">
    <w:name w:val="toc 8"/>
    <w:basedOn w:val="910"/>
    <w:next w:val="910"/>
    <w:uiPriority w:val="39"/>
    <w:unhideWhenUsed/>
    <w:pPr>
      <w:ind w:left="1984" w:right="0" w:firstLine="0"/>
      <w:spacing w:after="57"/>
    </w:pPr>
  </w:style>
  <w:style w:type="paragraph" w:styleId="907">
    <w:name w:val="toc 9"/>
    <w:basedOn w:val="910"/>
    <w:next w:val="910"/>
    <w:uiPriority w:val="39"/>
    <w:unhideWhenUsed/>
    <w:pPr>
      <w:ind w:left="2268" w:right="0" w:firstLine="0"/>
      <w:spacing w:after="57"/>
    </w:pPr>
  </w:style>
  <w:style w:type="paragraph" w:styleId="908">
    <w:name w:val="TOC Heading"/>
    <w:uiPriority w:val="39"/>
    <w:unhideWhenUsed/>
  </w:style>
  <w:style w:type="paragraph" w:styleId="909">
    <w:name w:val="table of figures"/>
    <w:basedOn w:val="910"/>
    <w:next w:val="910"/>
    <w:uiPriority w:val="99"/>
    <w:unhideWhenUsed/>
    <w:pPr>
      <w:spacing w:after="0" w:afterAutospacing="0"/>
    </w:pPr>
  </w:style>
  <w:style w:type="paragraph" w:styleId="91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11">
    <w:name w:val="Heading 3"/>
    <w:basedOn w:val="910"/>
    <w:next w:val="910"/>
    <w:link w:val="915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12" w:default="1">
    <w:name w:val="Default Paragraph Font"/>
    <w:uiPriority w:val="1"/>
    <w:semiHidden/>
    <w:unhideWhenUsed/>
  </w:style>
  <w:style w:type="table" w:styleId="91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4" w:default="1">
    <w:name w:val="No List"/>
    <w:uiPriority w:val="99"/>
    <w:semiHidden/>
    <w:unhideWhenUsed/>
  </w:style>
  <w:style w:type="character" w:styleId="915" w:customStyle="1">
    <w:name w:val="Заголовок 3 Знак"/>
    <w:basedOn w:val="912"/>
    <w:link w:val="911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16">
    <w:name w:val="Balloon Text"/>
    <w:basedOn w:val="910"/>
    <w:link w:val="917"/>
    <w:uiPriority w:val="99"/>
    <w:semiHidden/>
    <w:unhideWhenUsed/>
    <w:rPr>
      <w:rFonts w:ascii="Tahoma" w:hAnsi="Tahoma" w:cs="Tahoma"/>
      <w:sz w:val="16"/>
      <w:szCs w:val="16"/>
    </w:rPr>
  </w:style>
  <w:style w:type="character" w:styleId="917" w:customStyle="1">
    <w:name w:val="Текст выноски Знак"/>
    <w:basedOn w:val="912"/>
    <w:link w:val="91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18">
    <w:name w:val="Table Grid"/>
    <w:basedOn w:val="91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19">
    <w:name w:val="Hyperlink"/>
    <w:basedOn w:val="912"/>
    <w:uiPriority w:val="99"/>
    <w:unhideWhenUsed/>
    <w:rPr>
      <w:color w:val="0000ff" w:themeColor="hyperlink"/>
      <w:u w:val="single"/>
    </w:rPr>
  </w:style>
  <w:style w:type="paragraph" w:styleId="920">
    <w:name w:val="List Paragraph"/>
    <w:basedOn w:val="910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21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22">
    <w:name w:val="Header"/>
    <w:basedOn w:val="910"/>
    <w:link w:val="923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23" w:customStyle="1">
    <w:name w:val="Верхний колонтитул Знак"/>
    <w:basedOn w:val="912"/>
    <w:link w:val="922"/>
    <w:uiPriority w:val="99"/>
    <w:rPr>
      <w:rFonts w:eastAsiaTheme="minorEastAsia"/>
      <w:lang w:eastAsia="ru-RU"/>
    </w:rPr>
  </w:style>
  <w:style w:type="paragraph" w:styleId="924">
    <w:name w:val="Footer"/>
    <w:basedOn w:val="910"/>
    <w:link w:val="925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25" w:customStyle="1">
    <w:name w:val="Нижний колонтитул Знак"/>
    <w:basedOn w:val="912"/>
    <w:link w:val="924"/>
    <w:uiPriority w:val="99"/>
    <w:rPr>
      <w:rFonts w:eastAsiaTheme="minorEastAsia"/>
      <w:lang w:eastAsia="ru-RU"/>
    </w:rPr>
  </w:style>
  <w:style w:type="paragraph" w:styleId="926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Мангер Анастасия Юрьевна</dc:creator>
  <cp:keywords/>
  <dc:description/>
  <cp:revision>46</cp:revision>
  <dcterms:created xsi:type="dcterms:W3CDTF">2019-12-25T00:45:00Z</dcterms:created>
  <dcterms:modified xsi:type="dcterms:W3CDTF">2023-08-28T08:22:51Z</dcterms:modified>
</cp:coreProperties>
</file>