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tabs>
          <w:tab w:val="left" w:pos="5670" w:leader="none"/>
        </w:tabs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color w:val="000000" w:themeColor="text1"/>
        </w:rPr>
      </w:r>
      <w:r/>
    </w:p>
    <w:p>
      <w:pPr>
        <w:pStyle w:val="935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55</w:t>
      </w:r>
      <w:r>
        <w:rPr>
          <w:b/>
          <w:bCs/>
          <w:u w:val="single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 </w:t>
      </w:r>
      <w:r>
        <w:rPr>
          <w:rFonts w:ascii="Times New Roman" w:hAnsi="Times New Roman" w:cs="Times New Roman"/>
          <w:b/>
          <w:sz w:val="28"/>
          <w:szCs w:val="28"/>
        </w:rPr>
        <w:t xml:space="preserve">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35"/>
        <w:jc w:val="center"/>
      </w:pPr>
      <w:r>
        <w:t xml:space="preserve">                                    </w:t>
      </w:r>
      <w:r/>
    </w:p>
    <w:tbl>
      <w:tblPr>
        <w:tblStyle w:val="94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машиностроительный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35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0"/>
        <w:gridCol w:w="1134"/>
        <w:gridCol w:w="852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W w:w="38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W w:w="18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gridSpan w:val="3"/>
            <w:tcW w:w="38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gridSpan w:val="2"/>
            <w:tcW w:w="18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(1-й год планового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3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1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ОКЕИ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852101О.99.0.ББ28ЕЭ60000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15.02.08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8"/>
                <w:szCs w:val="20"/>
                <w:lang w:eastAsia="ru-RU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2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2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2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2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852100О.99.0.БО84ЕН88000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2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2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2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2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852101О.99.0.ББ28ЕЯ76000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15.02.09 Аддитивные технологии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47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852101О.99.0.ББ28ЧУ32002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15.02.12 Монтаж, техническое обслуживание и ремонт промышленного оборудования (по отраслям)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42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852101О.99.0.ББ28ЧЩ80002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15.02.15 Технология металлообрабатывающего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43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852101О.99.0.ББ28ЧЭ04002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15.02.15 Технология металлообрабатывающего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before="240"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Информационные системы и программирование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97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852101О.99.0.ББ28ЕЭ60000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15.02.08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9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852100О.99.0.БО84ЕН88000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852101О.99.0.ББ28ЕЯ76000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15.02.09 Аддитивные технологии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852101О.99.0.ББ28ЧУ32002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15.02.12 Монтаж, техническое обслуживание и ремонт промышленного оборудования (по отраслям)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852101О.99.0.ББ28ЧЩ80002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15.02.15 Технология металлообрабатывающего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852101О.99.0.ББ28ЧЭ04002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15.02.15 Технология металлообрабатывающего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/>
    </w:p>
    <w:p>
      <w:pPr>
        <w:pStyle w:val="935"/>
        <w:jc w:val="center"/>
        <w:rPr>
          <w:color w:val="000000" w:themeColor="text1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000000" w:themeColor="text1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</w:t>
            </w:r>
            <w:r>
              <w:rPr>
                <w:color w:val="00000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информирования потенциальных потребителей</w:t>
      </w:r>
      <w:r>
        <w:rPr>
          <w:rFonts w:ascii="Times New Roman" w:hAnsi="Times New Roman" w:cs="Times New Roman"/>
          <w:color w:val="000000" w:themeColor="text1"/>
        </w:rPr>
        <w:t xml:space="preserve">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ru-RU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Физические лица, имеющие основное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852101О.99.0.ББ29ДХ00000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15.01.23 Наладчик станков и оборудования в механообработке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154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852101О.99.0.ББ29СШ84002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15.01.33 Токарь на станках с числовым программным управлением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852101О.99.0.ББ29СЭ28002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15.01.34 Фрезеровщик на станках с числовым программным управлением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852101О.99.0.ББ29ДХ00000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15.01.23 Наладчик станков и оборудования в механообработке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107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107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107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852101О.99.0.ББ29СШ84002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15.01.33 Токарь на станках с числовым программным управлением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852101О.99.0.ББ29СЭ28002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15.01.34 Фрезеровщик на станках с числовым программным управлением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</w:p>
        </w:tc>
      </w:tr>
    </w:tbl>
    <w:p>
      <w:pPr>
        <w:pStyle w:val="935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color w:val="000000" w:themeColor="text1"/>
        </w:rPr>
      </w:r>
    </w:p>
    <w:p>
      <w:pPr>
        <w:pStyle w:val="935"/>
        <w:jc w:val="center"/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/>
      <w:r/>
    </w:p>
    <w:p>
      <w:pPr>
        <w:pStyle w:val="935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 xml:space="preserve">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.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</w:t>
            </w:r>
            <w:r>
              <w:rPr>
                <w:color w:val="000000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Порядок </w:t>
      </w:r>
      <w:r>
        <w:rPr>
          <w:rFonts w:ascii="Times New Roman" w:hAnsi="Times New Roman" w:cs="Times New Roman"/>
        </w:rPr>
        <w:t xml:space="preserve">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/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  <w:lang w:eastAsia="ru-RU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35"/>
        <w:jc w:val="center"/>
      </w:pPr>
      <w:r/>
      <w:r/>
    </w:p>
    <w:p>
      <w:pPr>
        <w:pStyle w:val="935"/>
        <w:jc w:val="center"/>
      </w:pPr>
      <w:r/>
      <w:r/>
    </w:p>
    <w:p>
      <w:pPr>
        <w:pStyle w:val="93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5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lang w:eastAsia="ru-RU"/>
        </w:rPr>
      </w:pPr>
      <w:r>
        <w:rPr>
          <w:rFonts w:ascii="Times New Roman" w:hAnsi="Times New Roman" w:eastAsia="Calibri" w:cs="Times New Roman"/>
          <w:lang w:eastAsia="ru-RU"/>
        </w:rPr>
        <w:t xml:space="preserve">Иная информация не требуется.</w:t>
      </w:r>
      <w:r/>
    </w:p>
    <w:p>
      <w:pPr>
        <w:pStyle w:val="935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  <w:lang w:eastAsia="ru-RU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</w:rPr>
              <w:t xml:space="preserve"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35"/>
        <w:spacing w:line="480" w:lineRule="auto"/>
        <w:rPr>
          <w:lang w:val="en-US"/>
        </w:rPr>
      </w:pPr>
      <w:r>
        <w:rPr>
          <w:lang w:val="en-US"/>
        </w:rPr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 xml:space="preserve">:</w:t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4.1. Периодичность представления отчетов о</w:t>
      </w: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 выполнении государственного задания</w:t>
      </w: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</w:r>
      <w:r/>
    </w:p>
    <w:p>
      <w:pPr>
        <w:pStyle w:val="935"/>
        <w:rPr>
          <w:rFonts w:ascii="Times New Roman" w:hAnsi="Times New Roman" w:eastAsia="Times New Roman" w:cs="Times New Roman"/>
          <w:color w:val="000000"/>
          <w:sz w:val="22"/>
          <w:szCs w:val="22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  <w:lang w:eastAsia="ru-RU"/>
        </w:rPr>
        <w:t xml:space="preserve">Ежеквартально.</w:t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sz w:val="22"/>
          <w:szCs w:val="22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2"/>
          <w:szCs w:val="22"/>
          <w:lang w:eastAsia="ru-RU"/>
        </w:rPr>
        <w:t xml:space="preserve">Ежеквартально до 10 числа</w:t>
      </w:r>
      <w:r>
        <w:rPr>
          <w:rFonts w:ascii="Times New Roman" w:hAnsi="Times New Roman" w:eastAsia="Calibri" w:cs="Times New Roman"/>
          <w:sz w:val="22"/>
          <w:szCs w:val="22"/>
          <w:lang w:eastAsia="ru-RU"/>
        </w:rPr>
        <w:t xml:space="preserve"> месяца, следующего за отчётным, по итогам года - до 20 января года, следующего за отчетным.</w:t>
      </w:r>
      <w:r/>
    </w:p>
    <w:p>
      <w:pPr>
        <w:pStyle w:val="935"/>
        <w:rPr>
          <w:rFonts w:ascii="Times New Roman" w:hAnsi="Times New Roman" w:eastAsia="Calibri" w:cs="Times New Roman"/>
          <w:sz w:val="22"/>
          <w:szCs w:val="22"/>
          <w:lang w:eastAsia="ru-RU"/>
        </w:rPr>
      </w:pPr>
      <w:r>
        <w:rPr>
          <w:rFonts w:ascii="Times New Roman" w:hAnsi="Times New Roman" w:eastAsia="Calibri" w:cs="Times New Roman"/>
          <w:sz w:val="22"/>
          <w:szCs w:val="22"/>
          <w:lang w:eastAsia="ru-RU"/>
        </w:rPr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sz w:val="22"/>
          <w:szCs w:val="22"/>
          <w:lang w:eastAsia="ru-RU"/>
        </w:rPr>
      </w:pPr>
      <w:r>
        <w:rPr>
          <w:rFonts w:ascii="Times New Roman" w:hAnsi="Times New Roman" w:eastAsia="Calibri" w:cs="Times New Roman"/>
          <w:sz w:val="22"/>
          <w:szCs w:val="22"/>
          <w:lang w:eastAsia="ru-RU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35"/>
        <w:rPr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  <w:lang w:eastAsia="ru-RU"/>
        </w:rPr>
        <w:t xml:space="preserve">Иные показатели не требуются.».</w:t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15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11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</w:pPr>
    <w:r/>
    <w:r/>
  </w:p>
  <w:p>
    <w:pPr>
      <w:pStyle w:val="9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27"/>
    <w:next w:val="927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basedOn w:val="928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27"/>
    <w:next w:val="927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8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7"/>
    <w:next w:val="927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8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7"/>
    <w:next w:val="927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8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27"/>
    <w:next w:val="927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basedOn w:val="928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27"/>
    <w:next w:val="927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basedOn w:val="92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27"/>
    <w:next w:val="927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basedOn w:val="928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27"/>
    <w:next w:val="927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basedOn w:val="928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27"/>
    <w:next w:val="927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basedOn w:val="928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7"/>
    <w:next w:val="927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8"/>
    <w:link w:val="773"/>
    <w:uiPriority w:val="10"/>
    <w:rPr>
      <w:sz w:val="48"/>
      <w:szCs w:val="48"/>
    </w:rPr>
  </w:style>
  <w:style w:type="paragraph" w:styleId="775">
    <w:name w:val="Subtitle"/>
    <w:basedOn w:val="927"/>
    <w:next w:val="927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8"/>
    <w:link w:val="775"/>
    <w:uiPriority w:val="11"/>
    <w:rPr>
      <w:sz w:val="24"/>
      <w:szCs w:val="24"/>
    </w:rPr>
  </w:style>
  <w:style w:type="paragraph" w:styleId="777">
    <w:name w:val="Quote"/>
    <w:basedOn w:val="927"/>
    <w:next w:val="927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7"/>
    <w:next w:val="927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8"/>
    <w:link w:val="936"/>
    <w:uiPriority w:val="99"/>
  </w:style>
  <w:style w:type="character" w:styleId="782">
    <w:name w:val="Footer Char"/>
    <w:basedOn w:val="928"/>
    <w:link w:val="938"/>
    <w:uiPriority w:val="99"/>
  </w:style>
  <w:style w:type="paragraph" w:styleId="783">
    <w:name w:val="Caption"/>
    <w:basedOn w:val="927"/>
    <w:next w:val="9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38"/>
    <w:uiPriority w:val="99"/>
  </w:style>
  <w:style w:type="table" w:styleId="785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basedOn w:val="928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basedOn w:val="928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qFormat/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character" w:styleId="931">
    <w:name w:val="Hyperlink"/>
    <w:basedOn w:val="928"/>
    <w:uiPriority w:val="99"/>
    <w:unhideWhenUsed/>
    <w:rPr>
      <w:color w:val="0000ff" w:themeColor="hyperlink"/>
      <w:u w:val="single"/>
    </w:rPr>
  </w:style>
  <w:style w:type="paragraph" w:styleId="932">
    <w:name w:val="Balloon Text"/>
    <w:basedOn w:val="927"/>
    <w:link w:val="93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3" w:customStyle="1">
    <w:name w:val="Текст выноски Знак"/>
    <w:basedOn w:val="928"/>
    <w:link w:val="932"/>
    <w:uiPriority w:val="99"/>
    <w:semiHidden/>
    <w:rPr>
      <w:rFonts w:ascii="Tahoma" w:hAnsi="Tahoma" w:cs="Tahoma"/>
      <w:sz w:val="16"/>
      <w:szCs w:val="16"/>
    </w:rPr>
  </w:style>
  <w:style w:type="paragraph" w:styleId="934">
    <w:name w:val="List Paragraph"/>
    <w:basedOn w:val="927"/>
    <w:uiPriority w:val="34"/>
    <w:qFormat/>
    <w:pPr>
      <w:contextualSpacing/>
      <w:ind w:left="720"/>
    </w:pPr>
  </w:style>
  <w:style w:type="paragraph" w:styleId="93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6">
    <w:name w:val="Header"/>
    <w:basedOn w:val="927"/>
    <w:link w:val="93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7" w:customStyle="1">
    <w:name w:val="Верхний колонтитул Знак"/>
    <w:basedOn w:val="928"/>
    <w:link w:val="936"/>
    <w:uiPriority w:val="99"/>
  </w:style>
  <w:style w:type="paragraph" w:styleId="938">
    <w:name w:val="Footer"/>
    <w:basedOn w:val="927"/>
    <w:link w:val="9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9" w:customStyle="1">
    <w:name w:val="Нижний колонтитул Знак"/>
    <w:basedOn w:val="928"/>
    <w:link w:val="938"/>
    <w:uiPriority w:val="99"/>
  </w:style>
  <w:style w:type="table" w:styleId="940">
    <w:name w:val="Table Grid"/>
    <w:basedOn w:val="9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DBDCB5-5EE6-4FA6-BE38-FAD365DE2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36</cp:revision>
  <dcterms:created xsi:type="dcterms:W3CDTF">2019-12-20T13:34:00Z</dcterms:created>
  <dcterms:modified xsi:type="dcterms:W3CDTF">2023-11-03T03:19:51Z</dcterms:modified>
</cp:coreProperties>
</file>