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35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ПРИЛОЖЕНИЕ № 9 </w:t>
      </w:r>
      <w:r>
        <w:rPr>
          <w:color w:val="000000" w:themeColor="text1"/>
          <w:highlight w:val="white"/>
        </w:rPr>
      </w:r>
      <w:r/>
    </w:p>
    <w:p>
      <w:pPr>
        <w:pStyle w:val="935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к приказу Минобразования </w:t>
      </w:r>
      <w:r>
        <w:rPr>
          <w:color w:val="000000" w:themeColor="text1"/>
          <w:highlight w:val="white"/>
        </w:rPr>
      </w:r>
      <w:r/>
    </w:p>
    <w:p>
      <w:pPr>
        <w:pStyle w:val="935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Новосибирской области</w:t>
      </w:r>
      <w:r>
        <w:rPr>
          <w:color w:val="000000" w:themeColor="text1"/>
          <w:highlight w:val="white"/>
        </w:rPr>
      </w:r>
      <w:r/>
    </w:p>
    <w:p>
      <w:pPr>
        <w:pStyle w:val="935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от 01.08.2023 № 1637</w:t>
      </w:r>
      <w:r>
        <w:rPr>
          <w:rFonts w:ascii="Times New Roman" w:hAnsi="Times New Roman" w:cs="Times New Roman"/>
          <w:color w:val="000000" w:themeColor="text1"/>
          <w:highlight w:val="white"/>
        </w:rPr>
      </w:r>
      <w:r/>
    </w:p>
    <w:p>
      <w:pPr>
        <w:pStyle w:val="935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35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«УТВЕРЖДЕНО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35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приказом Минобразования Новосибирской области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35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от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29.12.2022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№ 3141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35"/>
        <w:ind w:left="5387"/>
        <w:jc w:val="center"/>
        <w:tabs>
          <w:tab w:val="left" w:pos="5670" w:leader="none"/>
        </w:tabs>
      </w:pP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  <w:r/>
    </w:p>
    <w:p>
      <w:pPr>
        <w:pStyle w:val="935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Министр образования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35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Новосибирской области</w:t>
      </w:r>
      <w:r>
        <w:rPr>
          <w:color w:val="000000" w:themeColor="text1"/>
          <w:sz w:val="28"/>
          <w:szCs w:val="28"/>
          <w:highlight w:val="white"/>
        </w:rPr>
      </w:r>
      <w:r/>
    </w:p>
    <w:p>
      <w:pPr>
        <w:pStyle w:val="935"/>
        <w:ind w:left="5387"/>
        <w:jc w:val="center"/>
      </w:pPr>
      <w:r>
        <w:rPr>
          <w:color w:val="000000" w:themeColor="text1"/>
          <w:sz w:val="28"/>
          <w:szCs w:val="28"/>
          <w:highlight w:val="white"/>
        </w:rPr>
        <w:t xml:space="preserve">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С.В. Федорчук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35"/>
        <w:ind w:left="5387"/>
        <w:jc w:val="center"/>
        <w:rPr>
          <w:rFonts w:ascii="Times New Roman" w:hAnsi="Times New Roman" w:cs="Times New Roman"/>
          <w:color w:val="000000" w:themeColor="text1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«29» декабря 202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г.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35"/>
        <w:jc w:val="right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935"/>
        <w:jc w:val="right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93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45</w:t>
      </w:r>
      <w:r/>
    </w:p>
    <w:p>
      <w:pPr>
        <w:pStyle w:val="93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pStyle w:val="93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20</w:t>
      </w:r>
      <w:r>
        <w:rPr>
          <w:rFonts w:ascii="Times New Roman" w:hAnsi="Times New Roman" w:cs="Times New Roman"/>
          <w:b/>
          <w:sz w:val="28"/>
          <w:szCs w:val="28"/>
        </w:rPr>
        <w:t xml:space="preserve">2</w:t>
      </w:r>
      <w:r>
        <w:rPr>
          <w:rFonts w:ascii="Times New Roman" w:hAnsi="Times New Roman" w:cs="Times New Roman"/>
          <w:b/>
          <w:sz w:val="28"/>
          <w:szCs w:val="28"/>
        </w:rPr>
        <w:t xml:space="preserve">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 xml:space="preserve">4</w:t>
      </w:r>
      <w:r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 xml:space="preserve">5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годов</w:t>
      </w:r>
      <w:r/>
    </w:p>
    <w:p>
      <w:pPr>
        <w:pStyle w:val="935"/>
        <w:jc w:val="center"/>
      </w:pPr>
      <w:r>
        <w:t xml:space="preserve">                                    </w:t>
      </w:r>
      <w:r/>
    </w:p>
    <w:tbl>
      <w:tblPr>
        <w:tblStyle w:val="940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Коды</w:t>
            </w:r>
            <w:r/>
          </w:p>
        </w:tc>
      </w:tr>
      <w:tr>
        <w:trPr>
          <w:trHeight w:val="58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государственного учреждения</w:t>
            </w:r>
            <w:r/>
          </w:p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Новосибирской области</w:t>
            </w:r>
            <w:r/>
          </w:p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restart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Форма по</w:t>
            </w:r>
            <w:r/>
          </w:p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ОКУД</w:t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vAlign w:val="center"/>
            <w:vMerge w:val="restart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0506001</w:t>
            </w:r>
            <w:r/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>
              <w:rPr>
                <w:rFonts w:ascii="Times New Roman" w:hAnsi="Times New Roman" w:cs="Times New Roman"/>
                <w:b/>
              </w:rPr>
              <w:t xml:space="preserve">автономное</w:t>
            </w:r>
            <w:r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 xml:space="preserve">реждение Новосибирской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continue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vMerge w:val="continue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  <w:b/>
                <w:sz w:val="14"/>
              </w:rPr>
            </w:r>
            <w:r/>
          </w:p>
          <w:p>
            <w:pPr>
              <w:pStyle w:val="93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«Новосибирский </w:t>
            </w:r>
            <w:r>
              <w:rPr>
                <w:rFonts w:ascii="Times New Roman" w:hAnsi="Times New Roman" w:cs="Times New Roman"/>
                <w:b/>
              </w:rPr>
              <w:t xml:space="preserve">колледж парикмахерского искусства</w:t>
            </w:r>
            <w:r>
              <w:rPr>
                <w:rFonts w:ascii="Times New Roman" w:hAnsi="Times New Roman" w:cs="Times New Roman"/>
                <w:b/>
              </w:rPr>
              <w:t xml:space="preserve">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начала действия</w:t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</w:rPr>
              <w:t xml:space="preserve">Виды деятельности государственного учреждения Новосибирской 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окончания действия</w:t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57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сводному</w:t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реестру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Образование и наука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4" w:type="dxa"/>
            <w:vAlign w:val="center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85.21</w:t>
            </w:r>
            <w:r/>
          </w:p>
        </w:tc>
      </w:tr>
      <w:tr>
        <w:trPr>
          <w:trHeight w:val="36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государственного учреждения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32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Профессиональная образовательная организация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486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  <w:r/>
          </w:p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4" w:type="dxa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</w:tbl>
    <w:p>
      <w:pPr>
        <w:pStyle w:val="93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Часть </w:t>
      </w:r>
      <w:r>
        <w:rPr>
          <w:rFonts w:ascii="Times New Roman" w:hAnsi="Times New Roman" w:cs="Times New Roman"/>
          <w:lang w:val="en-US"/>
        </w:rPr>
        <w:t xml:space="preserve">I</w:t>
      </w:r>
      <w:r>
        <w:rPr>
          <w:rFonts w:ascii="Times New Roman" w:hAnsi="Times New Roman" w:cs="Times New Roman"/>
        </w:rPr>
        <w:t xml:space="preserve">. Сведения об оказываемых государственных услугах</w:t>
      </w:r>
      <w:r/>
    </w:p>
    <w:p>
      <w:pPr>
        <w:pStyle w:val="93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pStyle w:val="93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Раздел 1</w:t>
      </w:r>
      <w:r/>
    </w:p>
    <w:p>
      <w:pPr>
        <w:pStyle w:val="93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tbl>
      <w:tblPr>
        <w:tblStyle w:val="940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/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базовому</w:t>
            </w:r>
            <w:r/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(отраслевому)</w:t>
            </w:r>
            <w:r/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перечню или региональному перечню</w:t>
            </w:r>
            <w:r/>
          </w:p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  <w:r/>
          </w:p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среднего профессионального образования - программ подготовки</w:t>
            </w:r>
            <w:r/>
          </w:p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специалистов среднего звена</w:t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37.Д56.0</w:t>
            </w:r>
            <w:r/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  <w:r/>
          </w:p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  <w:p>
            <w:pPr>
              <w:pStyle w:val="935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Ф</w:t>
            </w:r>
            <w:r>
              <w:rPr>
                <w:rFonts w:ascii="Times New Roman" w:hAnsi="Times New Roman" w:cs="Times New Roman"/>
              </w:rPr>
              <w:t xml:space="preserve">изические лица, имеющие основное общее образование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</w:t>
            </w:r>
            <w:r/>
          </w:p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среднее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общее образование</w:t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</w:tbl>
    <w:p>
      <w:pPr>
        <w:pStyle w:val="935"/>
        <w:rPr>
          <w:rFonts w:ascii="Times New Roman" w:hAnsi="Times New Roman" w:cs="Times New Roman"/>
        </w:rPr>
        <w:sectPr>
          <w:headerReference w:type="default" r:id="rId9"/>
          <w:footerReference w:type="default" r:id="rId12"/>
          <w:footerReference w:type="first" r:id="rId13"/>
          <w:footnotePr/>
          <w:endnotePr/>
          <w:type w:val="nextPage"/>
          <w:pgSz w:w="11906" w:h="16838" w:orient="portrait"/>
          <w:pgMar w:top="709" w:right="567" w:bottom="851" w:left="1418" w:header="720" w:footer="34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</w:rPr>
      </w:r>
      <w:r/>
    </w:p>
    <w:p>
      <w:pPr>
        <w:pStyle w:val="935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/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/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  <w:r/>
          </w:p>
        </w:tc>
        <w:tc>
          <w:tcPr>
            <w:gridSpan w:val="3"/>
            <w:tcW w:w="382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/>
          </w:p>
        </w:tc>
        <w:tc>
          <w:tcPr>
            <w:gridSpan w:val="2"/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/>
          </w:p>
        </w:tc>
        <w:tc>
          <w:tcPr>
            <w:gridSpan w:val="3"/>
            <w:tcW w:w="42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/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/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/>
          </w:p>
        </w:tc>
        <w:tc>
          <w:tcPr>
            <w:tcW w:w="84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/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3"/>
            <w:tcW w:w="382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2"/>
            <w:tcW w:w="184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/>
          </w:p>
        </w:tc>
        <w:tc>
          <w:tcPr>
            <w:gridSpan w:val="2"/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/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/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/>
          </w:p>
        </w:tc>
        <w:tc>
          <w:tcPr>
            <w:tcW w:w="84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наимено-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4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/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/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/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/>
          </w:p>
        </w:tc>
        <w:tc>
          <w:tcPr>
            <w:tcW w:w="8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852101О.99.0.ББ28ТМ44000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43.02.02 Парикмахерское искусство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339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852101О.99.0.ББ28ШЧ72002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43.02.13 Технология парикмахерского искусства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1.Сохранность контингента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852101О.99.0.ББ28ШЧ96002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43.02.13 Технология парикмахерского искусства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1.Сохранность контингента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852101О.99.0.ББ28ШХ80002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43.02.12 Технология эстетических услуг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1.Сохранность контингента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852101О.99.0.ББ28ТО84000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43.02.03 Стилистика и искусство визажа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Среднее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1.Сохранность контингента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5. Уровень выполнения контрольных цифр приема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852100О.99.0.БО84СЩ32000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43.02.17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Технологии индустрии красоты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  <w:p>
            <w:pPr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1.Сохранность контингента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95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95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95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. Уровень выполнения контрольных цифр приема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852100О.99.0.БО84СЩ56000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Среднее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общее образовани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  <w:vertAlign w:val="baseline"/>
              </w:rPr>
              <w:t xml:space="preserve">43.02.17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Технологии индустрии красоты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Очная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  <w:p>
            <w:pPr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  <w:vertAlign w:val="baseli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1.Сохранность контингента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95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95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95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. Уровень выполнения контрольных цифр приема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/>
          </w:p>
        </w:tc>
      </w:tr>
    </w:tbl>
    <w:p>
      <w:pPr>
        <w:shd w:val="nil" w:color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0"/>
        <w:gridCol w:w="852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реест-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/>
          </w:p>
        </w:tc>
      </w:tr>
      <w:tr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/>
          </w:p>
        </w:tc>
      </w:tr>
      <w:tr>
        <w:trPr>
          <w:trHeight w:val="49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5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/>
          </w:p>
        </w:tc>
      </w:tr>
      <w:tr>
        <w:trPr>
          <w:trHeight w:val="101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852101О.99.0.ББ28ТМ44000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43.02.02 Парикмахерское искусство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28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28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28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852101О.99.0.ББ28ШЧ72002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43.02.13 Технология парикмахерского искусства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297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297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297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91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852101О.99.0.ББ28ШЧ96002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43.02.13 Технология парикмахерского искусства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91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91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91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6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852101О.99.0.ББ28ШХ80002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43.02.12 Технология эстетических услуг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63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63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63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6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852101О.99.0.ББ28ТО84000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43.02.03 Стилистика и искусство визажа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68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68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68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852100О.99.0.БО84СЩ32000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20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20"/>
                <w:u w:val="none"/>
              </w:rPr>
              <w:t xml:space="preserve">43.02.17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20"/>
                <w:u w:val="none"/>
              </w:rPr>
              <w:t xml:space="preserve">Технологии индустрии красоты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6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852100О.99.0.БО84СЩ56000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общее образовани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20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20"/>
                <w:u w:val="none"/>
              </w:rPr>
              <w:t xml:space="preserve">43.02.17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20"/>
                <w:u w:val="none"/>
              </w:rPr>
              <w:t xml:space="preserve">Технологии индустрии красоты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  <w:p>
            <w:pPr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</w:tbl>
    <w:p>
      <w:pPr>
        <w:pStyle w:val="935"/>
        <w:rPr>
          <w:rFonts w:ascii="Times New Roman" w:hAnsi="Times New Roman" w:cs="Times New Roman"/>
          <w:color w:val="000000" w:themeColor="text1"/>
          <w:sz w:val="4"/>
        </w:rPr>
      </w:pPr>
      <w:r>
        <w:rPr>
          <w:rFonts w:ascii="Times New Roman" w:hAnsi="Times New Roman" w:cs="Times New Roman"/>
          <w:color w:val="000000" w:themeColor="text1"/>
          <w:sz w:val="4"/>
        </w:rPr>
      </w:r>
      <w:r>
        <w:rPr>
          <w:color w:val="000000" w:themeColor="text1"/>
        </w:rPr>
      </w:r>
      <w:r/>
    </w:p>
    <w:p>
      <w:pPr>
        <w:pStyle w:val="935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567" w:right="567" w:bottom="851" w:left="1134" w:header="340" w:footer="567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/>
    </w:p>
    <w:p>
      <w:pPr>
        <w:pStyle w:val="935"/>
        <w:jc w:val="center"/>
        <w:rPr>
          <w:rFonts w:ascii="Times New Roman" w:hAnsi="Times New Roman" w:cs="Times New Roman"/>
          <w:color w:val="ff0000"/>
          <w:szCs w:val="22"/>
        </w:rPr>
      </w:pPr>
      <w:r>
        <w:rPr>
          <w:rFonts w:ascii="Times New Roman" w:hAnsi="Times New Roman" w:cs="Times New Roman"/>
          <w:color w:val="ff0000"/>
          <w:szCs w:val="22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/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/>
          </w:p>
        </w:tc>
      </w:tr>
      <w:tr>
        <w:trPr>
          <w:trHeight w:val="100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  <w:r/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/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Минобрнауки РФ от 29.10.2013 № 1199 «Об утверждении перечней профессий и специальностей среднего профессионального образования»;</w:t>
            </w:r>
            <w:r/>
          </w:p>
        </w:tc>
      </w:tr>
      <w:tr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rFonts w:ascii="Times New Roman" w:hAnsi="Times New Roman" w:cs="Times New Roman"/>
              </w:rPr>
              <w:t xml:space="preserve">Приказ Министерства просвещен</w:t>
            </w:r>
            <w:r>
              <w:rPr>
                <w:rFonts w:ascii="Times New Roman" w:hAnsi="Times New Roman" w:cs="Times New Roman"/>
              </w:rPr>
              <w:t xml:space="preserve">ия Российской Федерации 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</w:t>
            </w:r>
            <w:r>
              <w:rPr>
                <w:rFonts w:ascii="Times New Roman" w:hAnsi="Times New Roman" w:cs="Times New Roman"/>
              </w:rPr>
              <w:t xml:space="preserve"> перечнях, профессиям и </w:t>
            </w:r>
            <w:r>
              <w:rPr>
                <w:rFonts w:ascii="Times New Roman" w:hAnsi="Times New Roman" w:cs="Times New Roman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29.10.2013 №1199 «Об у</w:t>
            </w:r>
            <w:r>
              <w:rPr>
                <w:rFonts w:ascii="Times New Roman" w:hAnsi="Times New Roman" w:cs="Times New Roman"/>
              </w:rPr>
              <w:t xml:space="preserve">тверждении перечней профессий и </w:t>
            </w:r>
            <w:r>
              <w:rPr>
                <w:rFonts w:ascii="Times New Roman" w:hAnsi="Times New Roman" w:cs="Times New Roman"/>
              </w:rPr>
              <w:t xml:space="preserve">специальностей среднего профессионального образования».</w:t>
            </w:r>
            <w:r>
              <w:rPr>
                <w:color w:val="000000"/>
              </w:rPr>
            </w:r>
            <w:r/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color w:val="00000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потребителей  государственной услуги: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/>
          </w:p>
        </w:tc>
      </w:tr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Правительства РФ от 20.10.2021 № 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1802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/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необходимости обязательного предварительного медицинского осмотра; информация о наличии общежития; контактная информация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образовательной организации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 работа в школах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pStyle w:val="93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</w:rPr>
        <w:br w:type="page" w:clear="all"/>
      </w:r>
      <w:r/>
    </w:p>
    <w:p>
      <w:pPr>
        <w:pStyle w:val="93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Раздел 2</w:t>
      </w:r>
      <w:r/>
    </w:p>
    <w:p>
      <w:pPr>
        <w:pStyle w:val="93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tbl>
      <w:tblPr>
        <w:tblStyle w:val="940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Код по</w:t>
            </w:r>
            <w:r/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базовому</w:t>
            </w:r>
            <w:r/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(отраслевому)</w:t>
            </w:r>
            <w:r/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перечню или региональному перечню</w:t>
            </w:r>
            <w:r/>
          </w:p>
          <w:p>
            <w:pPr>
              <w:pStyle w:val="93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Реализация образовательных программ </w:t>
            </w:r>
            <w:r/>
          </w:p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среднего профессионального образования - программ подготовки квалифицированных рабочих, служащих</w:t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37.Д57.0</w:t>
            </w:r>
            <w:r/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  <w:r/>
          </w:p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pStyle w:val="935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Физические лица, имеющие основное общее образование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 </w:t>
            </w:r>
            <w:r/>
          </w:p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Физические лица, имеющие среднее общее образование</w:t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</w:tbl>
    <w:p>
      <w:pPr>
        <w:pStyle w:val="935"/>
        <w:rPr>
          <w:rFonts w:ascii="Times New Roman" w:hAnsi="Times New Roman" w:cs="Times New Roman"/>
          <w:color w:val="000000" w:themeColor="text1"/>
        </w:rPr>
        <w:sectPr>
          <w:headerReference w:type="default" r:id="rId10"/>
          <w:footnotePr/>
          <w:endnotePr/>
          <w:type w:val="nextPage"/>
          <w:pgSz w:w="11906" w:h="16838" w:orient="portrait"/>
          <w:pgMar w:top="1134" w:right="567" w:bottom="1134" w:left="1418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pStyle w:val="935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/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/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  <w:r/>
          </w:p>
        </w:tc>
        <w:tc>
          <w:tcPr>
            <w:gridSpan w:val="3"/>
            <w:tcW w:w="354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/>
          </w:p>
        </w:tc>
        <w:tc>
          <w:tcPr>
            <w:gridSpan w:val="2"/>
            <w:tcW w:w="198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/>
          </w:p>
        </w:tc>
        <w:tc>
          <w:tcPr>
            <w:gridSpan w:val="3"/>
            <w:tcW w:w="43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/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/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/>
          </w:p>
        </w:tc>
        <w:tc>
          <w:tcPr>
            <w:tcW w:w="84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/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3"/>
            <w:tcW w:w="354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2"/>
            <w:tcW w:w="198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/>
          </w:p>
        </w:tc>
        <w:tc>
          <w:tcPr>
            <w:gridSpan w:val="2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/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/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/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/>
          </w:p>
        </w:tc>
        <w:tc>
          <w:tcPr>
            <w:tcW w:w="283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наимено-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/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/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/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/>
          </w:p>
        </w:tc>
        <w:tc>
          <w:tcPr>
            <w:tcW w:w="8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852101О.99.0.ББ29ПШ68000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43.01.02 Парикмахер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/>
          </w:p>
        </w:tc>
      </w:tr>
      <w:tr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реест-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/>
          </w:p>
        </w:tc>
      </w:tr>
      <w:tr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/>
          </w:p>
        </w:tc>
      </w:tr>
      <w:tr>
        <w:trPr>
          <w:trHeight w:val="49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6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/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852101О.99.0.ББ29ПШ68000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43.01.02 Парикмахер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</w:tr>
    </w:tbl>
    <w:p>
      <w:pPr>
        <w:pStyle w:val="935"/>
        <w:jc w:val="center"/>
        <w:rPr>
          <w:rFonts w:ascii="Times New Roman" w:hAnsi="Times New Roman" w:cs="Times New Roman"/>
          <w:color w:val="ff0000"/>
          <w:sz w:val="4"/>
        </w:rPr>
      </w:pPr>
      <w:r>
        <w:rPr>
          <w:rFonts w:ascii="Times New Roman" w:hAnsi="Times New Roman" w:cs="Times New Roman"/>
          <w:color w:val="ff0000"/>
          <w:sz w:val="4"/>
        </w:rPr>
      </w:r>
      <w:r/>
    </w:p>
    <w:p>
      <w:pPr>
        <w:pStyle w:val="935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709" w:right="567" w:bottom="851" w:left="1134" w:header="454" w:footer="720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/>
    </w:p>
    <w:p>
      <w:pPr>
        <w:pStyle w:val="935"/>
        <w:jc w:val="center"/>
        <w:rPr>
          <w:rFonts w:ascii="Times New Roman" w:hAnsi="Times New Roman" w:cs="Times New Roman"/>
          <w:color w:val="ff0000"/>
          <w:szCs w:val="22"/>
        </w:rPr>
      </w:pPr>
      <w:r>
        <w:rPr>
          <w:rFonts w:ascii="Times New Roman" w:hAnsi="Times New Roman" w:cs="Times New Roman"/>
          <w:color w:val="ff0000"/>
          <w:szCs w:val="22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/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/>
          </w:p>
        </w:tc>
      </w:tr>
      <w:tr>
        <w:trPr>
          <w:trHeight w:val="100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  <w:r/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/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Минобрнауки РФ от 29.10.2013 № 1199 «Об утверждении перечней профессий и специальностей среднего профессионального образования».</w:t>
            </w:r>
            <w:r/>
          </w:p>
        </w:tc>
      </w:tr>
      <w:tr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rFonts w:ascii="Times New Roman" w:hAnsi="Times New Roman" w:cs="Times New Roman"/>
              </w:rPr>
              <w:t xml:space="preserve">Приказ Министерства просвещен</w:t>
            </w:r>
            <w:r>
              <w:rPr>
                <w:rFonts w:ascii="Times New Roman" w:hAnsi="Times New Roman" w:cs="Times New Roman"/>
              </w:rPr>
              <w:t xml:space="preserve">ия Российской Федерации 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</w:t>
            </w:r>
            <w:r>
              <w:rPr>
                <w:rFonts w:ascii="Times New Roman" w:hAnsi="Times New Roman" w:cs="Times New Roman"/>
              </w:rPr>
              <w:t xml:space="preserve"> перечнях, профессиям и </w:t>
            </w:r>
            <w:r>
              <w:rPr>
                <w:rFonts w:ascii="Times New Roman" w:hAnsi="Times New Roman" w:cs="Times New Roman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29.10.2013 №1199 «Об у</w:t>
            </w:r>
            <w:r>
              <w:rPr>
                <w:rFonts w:ascii="Times New Roman" w:hAnsi="Times New Roman" w:cs="Times New Roman"/>
              </w:rPr>
              <w:t xml:space="preserve">тверждении перечней профессий и </w:t>
            </w:r>
            <w:r>
              <w:rPr>
                <w:rFonts w:ascii="Times New Roman" w:hAnsi="Times New Roman" w:cs="Times New Roman"/>
              </w:rPr>
              <w:t xml:space="preserve">специальностей среднего профессионального образования».</w:t>
            </w:r>
            <w:r>
              <w:rPr>
                <w:color w:val="000000"/>
              </w:rPr>
            </w:r>
            <w:r/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color w:val="00000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 потребителей  государственной услуги: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/>
          </w:p>
        </w:tc>
      </w:tr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Правительства РФ от 20.10.2021 № 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1802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/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необходимости обязательного предварительного медицинского осмотра; информация о наличии общежития; контактная информация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образовательной организации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 работа в школах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/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br w:type="page" w:clear="all"/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/>
      <w:bookmarkStart w:id="0" w:name="_GoBack"/>
      <w:r/>
      <w:bookmarkEnd w:id="0"/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Часть </w:t>
      </w:r>
      <w:r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III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Прочие сведения о государственном задании</w:t>
      </w:r>
      <w:r/>
    </w:p>
    <w:p>
      <w:pPr>
        <w:pStyle w:val="935"/>
        <w:jc w:val="center"/>
        <w:rPr>
          <w:color w:val="000000" w:themeColor="text1"/>
        </w:rPr>
      </w:pPr>
      <w:r>
        <w:rPr>
          <w:color w:val="000000" w:themeColor="text1"/>
        </w:rPr>
      </w:r>
      <w:r/>
    </w:p>
    <w:p>
      <w:pPr>
        <w:pStyle w:val="935"/>
        <w:jc w:val="center"/>
        <w:rPr>
          <w:color w:val="000000" w:themeColor="text1"/>
        </w:rPr>
      </w:pPr>
      <w:r>
        <w:rPr>
          <w:color w:val="000000" w:themeColor="text1"/>
        </w:rPr>
      </w:r>
      <w:r/>
    </w:p>
    <w:p>
      <w:pPr>
        <w:pStyle w:val="934"/>
        <w:numPr>
          <w:ilvl w:val="0"/>
          <w:numId w:val="15"/>
        </w:numPr>
        <w:ind w:left="284" w:hanging="284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Выполнение государственного задания завершается по окончании финансового года. 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Досрочное прекращение государственного задания возможно при следующих условиях:</w:t>
      </w:r>
      <w:r/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ликвидации, реорганизации профессионального образовательного учреждения;</w:t>
      </w:r>
      <w:r/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исключение государственной услуги из Базового (отраслевого) или регионального перечня государственных услуг (работ);</w:t>
      </w:r>
      <w:r/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иные основания, предусмотренные законодательством.</w:t>
      </w:r>
      <w:r/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/>
    </w:p>
    <w:p>
      <w:pPr>
        <w:pStyle w:val="935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2.  Иная информация, необходимая для выполнения (контроля за выполнением)</w:t>
      </w:r>
      <w:r/>
    </w:p>
    <w:p>
      <w:pPr>
        <w:pStyle w:val="935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государственного задания </w:t>
      </w:r>
      <w:r/>
    </w:p>
    <w:p>
      <w:pPr>
        <w:jc w:val="both"/>
        <w:spacing w:after="0" w:line="240" w:lineRule="auto"/>
        <w:rPr>
          <w:rFonts w:ascii="Times New Roman" w:hAnsi="Times New Roman" w:eastAsia="Calibri" w:cs="Times New Roman"/>
          <w:color w:val="000000" w:themeColor="text1"/>
        </w:rPr>
      </w:pPr>
      <w:r>
        <w:rPr>
          <w:rFonts w:ascii="Times New Roman" w:hAnsi="Times New Roman" w:eastAsia="Calibri" w:cs="Times New Roman"/>
          <w:color w:val="000000" w:themeColor="text1"/>
        </w:rPr>
        <w:t xml:space="preserve">Иная информация не требуется.</w:t>
      </w:r>
      <w:r/>
    </w:p>
    <w:p>
      <w:pPr>
        <w:pStyle w:val="935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935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3. Порядок контроля за выполнением государственного задания</w:t>
      </w:r>
      <w:r/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Форма контроля 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Периодичность 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Органы исполнительной власти Новосибирской области, осуществляющие контроль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за выполнением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государственного задания </w:t>
            </w:r>
            <w:r/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 </w:t>
            </w:r>
            <w:r/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Профессиональное образовательное учреждение 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Ежеквартально, до 10 числа месяца, следующего за отчетным кварталом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Министерство образования Новосибирской области</w:t>
            </w:r>
            <w:r/>
          </w:p>
        </w:tc>
      </w:tr>
    </w:tbl>
    <w:p>
      <w:pPr>
        <w:pStyle w:val="935"/>
        <w:spacing w:line="480" w:lineRule="auto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</w:r>
      <w:r/>
    </w:p>
    <w:p>
      <w:pPr>
        <w:pStyle w:val="93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</w:t>
      </w:r>
      <w:r>
        <w:rPr>
          <w:color w:val="000000" w:themeColor="text1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Требования к отчетности о выполнении государственного задания:</w:t>
      </w:r>
      <w:r/>
    </w:p>
    <w:p>
      <w:pPr>
        <w:pStyle w:val="93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4.1. Периодичность  представления  отчетов  о  выполнении государственного задания: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/>
    </w:p>
    <w:p>
      <w:pPr>
        <w:pStyle w:val="935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Ежеквартально.</w:t>
      </w:r>
      <w:r/>
    </w:p>
    <w:p>
      <w:pPr>
        <w:pStyle w:val="93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93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  <w:r/>
    </w:p>
    <w:p>
      <w:pPr>
        <w:pStyle w:val="93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935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Ежеквартально до 10 числа месяца, следующего за отчётным, по итогам года - до 20 января года, следующего за отчетным.</w:t>
      </w:r>
      <w:r/>
    </w:p>
    <w:p>
      <w:pPr>
        <w:pStyle w:val="935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/>
    </w:p>
    <w:p>
      <w:pPr>
        <w:pStyle w:val="93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  <w:r/>
    </w:p>
    <w:p>
      <w:pPr>
        <w:pStyle w:val="93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935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  <w:r/>
    </w:p>
    <w:p>
      <w:pPr>
        <w:pStyle w:val="93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93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  <w:r/>
    </w:p>
    <w:p>
      <w:pPr>
        <w:pStyle w:val="93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935"/>
        <w:rPr>
          <w:color w:val="000000" w:themeColor="text1"/>
          <w:sz w:val="28"/>
          <w:lang w:val="en-US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Иные показатели не требуются.».</w:t>
      </w:r>
      <w:r/>
    </w:p>
    <w:sectPr>
      <w:headerReference w:type="default" r:id="rId11"/>
      <w:footnotePr/>
      <w:endnotePr/>
      <w:type w:val="nextPage"/>
      <w:pgSz w:w="11906" w:h="16838" w:orient="portrait"/>
      <w:pgMar w:top="1134" w:right="567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Symbol">
    <w:panose1 w:val="05010000000000000000"/>
  </w:font>
  <w:font w:name="Times New Roman">
    <w:panose1 w:val="02020603050405020304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1"/>
      <w:docPartObj>
        <w:docPartGallery w:val="Page Numbers (Bottom of Page)"/>
        <w:docPartUnique w:val="true"/>
      </w:docPartObj>
      <w:rPr/>
    </w:sdtPr>
    <w:sdtContent>
      <w:p>
        <w:pPr>
          <w:pStyle w:val="93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13</w:t>
        </w:r>
        <w:r>
          <w:fldChar w:fldCharType="end"/>
        </w:r>
        <w:r/>
      </w:p>
    </w:sdtContent>
  </w:sdt>
  <w:p>
    <w:pPr>
      <w:pStyle w:val="938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0"/>
      <w:docPartObj>
        <w:docPartGallery w:val="Page Numbers (Bottom of Page)"/>
        <w:docPartUnique w:val="true"/>
      </w:docPartObj>
      <w:rPr/>
    </w:sdtPr>
    <w:sdtContent>
      <w:p>
        <w:pPr>
          <w:pStyle w:val="93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9</w:t>
        </w:r>
        <w:r>
          <w:fldChar w:fldCharType="end"/>
        </w:r>
        <w:r/>
      </w:p>
    </w:sdtContent>
  </w:sdt>
  <w:p>
    <w:pPr>
      <w:pStyle w:val="938"/>
      <w:jc w:val="center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6"/>
      <w:jc w:val="center"/>
    </w:pPr>
    <w:r/>
    <w:r/>
  </w:p>
  <w:p>
    <w:pPr>
      <w:pStyle w:val="936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980110020"/>
      <w:docPartObj>
        <w:docPartGallery w:val="Page Numbers (Top of Page)"/>
        <w:docPartUnique w:val="true"/>
      </w:docPartObj>
      <w:rPr/>
    </w:sdtPr>
    <w:sdtContent>
      <w:p>
        <w:pPr>
          <w:pStyle w:val="936"/>
          <w:jc w:val="center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</w:r>
        <w:r/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6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44" w:hanging="103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9">
    <w:multiLevelType w:val="hybridMultilevel"/>
    <w:lvl w:ilvl="0">
      <w:start w:val="2"/>
      <w:numFmt w:val="decimal"/>
      <w:isLgl w:val="false"/>
      <w:suff w:val="tab"/>
      <w:lvlText w:val="3.%1."/>
      <w:legacy w:legacy="1" w:legacyIndent="864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2.%1."/>
      <w:legacy w:legacy="1" w:legacyIndent="869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54">
    <w:name w:val="Heading 1"/>
    <w:basedOn w:val="927"/>
    <w:next w:val="927"/>
    <w:link w:val="7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55">
    <w:name w:val="Heading 1 Char"/>
    <w:basedOn w:val="928"/>
    <w:link w:val="754"/>
    <w:uiPriority w:val="9"/>
    <w:rPr>
      <w:rFonts w:ascii="Arial" w:hAnsi="Arial" w:eastAsia="Arial" w:cs="Arial"/>
      <w:sz w:val="40"/>
      <w:szCs w:val="40"/>
    </w:rPr>
  </w:style>
  <w:style w:type="paragraph" w:styleId="756">
    <w:name w:val="Heading 2"/>
    <w:basedOn w:val="927"/>
    <w:next w:val="927"/>
    <w:link w:val="7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57">
    <w:name w:val="Heading 2 Char"/>
    <w:basedOn w:val="928"/>
    <w:link w:val="756"/>
    <w:uiPriority w:val="9"/>
    <w:rPr>
      <w:rFonts w:ascii="Arial" w:hAnsi="Arial" w:eastAsia="Arial" w:cs="Arial"/>
      <w:sz w:val="34"/>
    </w:rPr>
  </w:style>
  <w:style w:type="paragraph" w:styleId="758">
    <w:name w:val="Heading 3"/>
    <w:basedOn w:val="927"/>
    <w:next w:val="927"/>
    <w:link w:val="7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59">
    <w:name w:val="Heading 3 Char"/>
    <w:basedOn w:val="928"/>
    <w:link w:val="758"/>
    <w:uiPriority w:val="9"/>
    <w:rPr>
      <w:rFonts w:ascii="Arial" w:hAnsi="Arial" w:eastAsia="Arial" w:cs="Arial"/>
      <w:sz w:val="30"/>
      <w:szCs w:val="30"/>
    </w:rPr>
  </w:style>
  <w:style w:type="paragraph" w:styleId="760">
    <w:name w:val="Heading 4"/>
    <w:basedOn w:val="927"/>
    <w:next w:val="927"/>
    <w:link w:val="7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61">
    <w:name w:val="Heading 4 Char"/>
    <w:basedOn w:val="928"/>
    <w:link w:val="760"/>
    <w:uiPriority w:val="9"/>
    <w:rPr>
      <w:rFonts w:ascii="Arial" w:hAnsi="Arial" w:eastAsia="Arial" w:cs="Arial"/>
      <w:b/>
      <w:bCs/>
      <w:sz w:val="26"/>
      <w:szCs w:val="26"/>
    </w:rPr>
  </w:style>
  <w:style w:type="paragraph" w:styleId="762">
    <w:name w:val="Heading 5"/>
    <w:basedOn w:val="927"/>
    <w:next w:val="927"/>
    <w:link w:val="7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63">
    <w:name w:val="Heading 5 Char"/>
    <w:basedOn w:val="928"/>
    <w:link w:val="762"/>
    <w:uiPriority w:val="9"/>
    <w:rPr>
      <w:rFonts w:ascii="Arial" w:hAnsi="Arial" w:eastAsia="Arial" w:cs="Arial"/>
      <w:b/>
      <w:bCs/>
      <w:sz w:val="24"/>
      <w:szCs w:val="24"/>
    </w:rPr>
  </w:style>
  <w:style w:type="paragraph" w:styleId="764">
    <w:name w:val="Heading 6"/>
    <w:basedOn w:val="927"/>
    <w:next w:val="927"/>
    <w:link w:val="7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65">
    <w:name w:val="Heading 6 Char"/>
    <w:basedOn w:val="928"/>
    <w:link w:val="764"/>
    <w:uiPriority w:val="9"/>
    <w:rPr>
      <w:rFonts w:ascii="Arial" w:hAnsi="Arial" w:eastAsia="Arial" w:cs="Arial"/>
      <w:b/>
      <w:bCs/>
      <w:sz w:val="22"/>
      <w:szCs w:val="22"/>
    </w:rPr>
  </w:style>
  <w:style w:type="paragraph" w:styleId="766">
    <w:name w:val="Heading 7"/>
    <w:basedOn w:val="927"/>
    <w:next w:val="927"/>
    <w:link w:val="7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67">
    <w:name w:val="Heading 7 Char"/>
    <w:basedOn w:val="928"/>
    <w:link w:val="7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68">
    <w:name w:val="Heading 8"/>
    <w:basedOn w:val="927"/>
    <w:next w:val="927"/>
    <w:link w:val="7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69">
    <w:name w:val="Heading 8 Char"/>
    <w:basedOn w:val="928"/>
    <w:link w:val="768"/>
    <w:uiPriority w:val="9"/>
    <w:rPr>
      <w:rFonts w:ascii="Arial" w:hAnsi="Arial" w:eastAsia="Arial" w:cs="Arial"/>
      <w:i/>
      <w:iCs/>
      <w:sz w:val="22"/>
      <w:szCs w:val="22"/>
    </w:rPr>
  </w:style>
  <w:style w:type="paragraph" w:styleId="770">
    <w:name w:val="Heading 9"/>
    <w:basedOn w:val="927"/>
    <w:next w:val="927"/>
    <w:link w:val="7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71">
    <w:name w:val="Heading 9 Char"/>
    <w:basedOn w:val="928"/>
    <w:link w:val="770"/>
    <w:uiPriority w:val="9"/>
    <w:rPr>
      <w:rFonts w:ascii="Arial" w:hAnsi="Arial" w:eastAsia="Arial" w:cs="Arial"/>
      <w:i/>
      <w:iCs/>
      <w:sz w:val="21"/>
      <w:szCs w:val="21"/>
    </w:rPr>
  </w:style>
  <w:style w:type="paragraph" w:styleId="772">
    <w:name w:val="No Spacing"/>
    <w:uiPriority w:val="1"/>
    <w:qFormat/>
    <w:pPr>
      <w:spacing w:before="0" w:after="0" w:line="240" w:lineRule="auto"/>
    </w:pPr>
  </w:style>
  <w:style w:type="paragraph" w:styleId="773">
    <w:name w:val="Title"/>
    <w:basedOn w:val="927"/>
    <w:next w:val="927"/>
    <w:link w:val="77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74">
    <w:name w:val="Title Char"/>
    <w:basedOn w:val="928"/>
    <w:link w:val="773"/>
    <w:uiPriority w:val="10"/>
    <w:rPr>
      <w:sz w:val="48"/>
      <w:szCs w:val="48"/>
    </w:rPr>
  </w:style>
  <w:style w:type="paragraph" w:styleId="775">
    <w:name w:val="Subtitle"/>
    <w:basedOn w:val="927"/>
    <w:next w:val="927"/>
    <w:link w:val="776"/>
    <w:uiPriority w:val="11"/>
    <w:qFormat/>
    <w:pPr>
      <w:spacing w:before="200" w:after="200"/>
    </w:pPr>
    <w:rPr>
      <w:sz w:val="24"/>
      <w:szCs w:val="24"/>
    </w:rPr>
  </w:style>
  <w:style w:type="character" w:styleId="776">
    <w:name w:val="Subtitle Char"/>
    <w:basedOn w:val="928"/>
    <w:link w:val="775"/>
    <w:uiPriority w:val="11"/>
    <w:rPr>
      <w:sz w:val="24"/>
      <w:szCs w:val="24"/>
    </w:rPr>
  </w:style>
  <w:style w:type="paragraph" w:styleId="777">
    <w:name w:val="Quote"/>
    <w:basedOn w:val="927"/>
    <w:next w:val="927"/>
    <w:link w:val="778"/>
    <w:uiPriority w:val="29"/>
    <w:qFormat/>
    <w:pPr>
      <w:ind w:left="720" w:right="720"/>
    </w:pPr>
    <w:rPr>
      <w:i/>
    </w:rPr>
  </w:style>
  <w:style w:type="character" w:styleId="778">
    <w:name w:val="Quote Char"/>
    <w:link w:val="777"/>
    <w:uiPriority w:val="29"/>
    <w:rPr>
      <w:i/>
    </w:rPr>
  </w:style>
  <w:style w:type="paragraph" w:styleId="779">
    <w:name w:val="Intense Quote"/>
    <w:basedOn w:val="927"/>
    <w:next w:val="927"/>
    <w:link w:val="78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80">
    <w:name w:val="Intense Quote Char"/>
    <w:link w:val="779"/>
    <w:uiPriority w:val="30"/>
    <w:rPr>
      <w:i/>
    </w:rPr>
  </w:style>
  <w:style w:type="character" w:styleId="781">
    <w:name w:val="Header Char"/>
    <w:basedOn w:val="928"/>
    <w:link w:val="936"/>
    <w:uiPriority w:val="99"/>
  </w:style>
  <w:style w:type="character" w:styleId="782">
    <w:name w:val="Footer Char"/>
    <w:basedOn w:val="928"/>
    <w:link w:val="938"/>
    <w:uiPriority w:val="99"/>
  </w:style>
  <w:style w:type="paragraph" w:styleId="783">
    <w:name w:val="Caption"/>
    <w:basedOn w:val="927"/>
    <w:next w:val="92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84">
    <w:name w:val="Caption Char"/>
    <w:basedOn w:val="783"/>
    <w:link w:val="938"/>
    <w:uiPriority w:val="99"/>
  </w:style>
  <w:style w:type="table" w:styleId="785">
    <w:name w:val="Table Grid Light"/>
    <w:basedOn w:val="92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6">
    <w:name w:val="Plain Table 1"/>
    <w:basedOn w:val="92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7">
    <w:name w:val="Plain Table 2"/>
    <w:basedOn w:val="92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8">
    <w:name w:val="Plain Table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89">
    <w:name w:val="Plain Table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Plain Table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91">
    <w:name w:val="Grid Table 1 Light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Grid Table 1 Light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Grid Table 1 Light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Grid Table 1 Light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Grid Table 1 Light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Grid Table 1 Light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Grid Table 1 Light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Grid Table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2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2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2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2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2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2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3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3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3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3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3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3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4"/>
    <w:basedOn w:val="9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13">
    <w:name w:val="Grid Table 4 - Accent 1"/>
    <w:basedOn w:val="9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14">
    <w:name w:val="Grid Table 4 - Accent 2"/>
    <w:basedOn w:val="9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15">
    <w:name w:val="Grid Table 4 - Accent 3"/>
    <w:basedOn w:val="9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16">
    <w:name w:val="Grid Table 4 - Accent 4"/>
    <w:basedOn w:val="9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7">
    <w:name w:val="Grid Table 4 - Accent 5"/>
    <w:basedOn w:val="9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8">
    <w:name w:val="Grid Table 4 - Accent 6"/>
    <w:basedOn w:val="9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9">
    <w:name w:val="Grid Table 5 Dark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0">
    <w:name w:val="Grid Table 5 Dark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21">
    <w:name w:val="Grid Table 5 Dark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22">
    <w:name w:val="Grid Table 5 Dark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23">
    <w:name w:val="Grid Table 5 Dark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24">
    <w:name w:val="Grid Table 5 Dark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25">
    <w:name w:val="Grid Table 5 Dark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26">
    <w:name w:val="Grid Table 6 Colorful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27">
    <w:name w:val="Grid Table 6 Colorful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28">
    <w:name w:val="Grid Table 6 Colorful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29">
    <w:name w:val="Grid Table 6 Colorful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30">
    <w:name w:val="Grid Table 6 Colorful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31">
    <w:name w:val="Grid Table 6 Colorful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2">
    <w:name w:val="Grid Table 6 Colorful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3">
    <w:name w:val="Grid Table 7 Colorful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Grid Table 7 Colorful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>
    <w:name w:val="Grid Table 7 Colorful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Grid Table 7 Colorful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Grid Table 7 Colorful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Grid Table 7 Colorful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Grid Table 7 Colorful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List Table 1 Light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List Table 1 Light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List Table 1 Light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List Table 1 Light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List Table 1 Light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>
    <w:name w:val="List Table 1 Light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>
    <w:name w:val="List Table 1 Light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List Table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48">
    <w:name w:val="List Table 2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49">
    <w:name w:val="List Table 2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50">
    <w:name w:val="List Table 2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51">
    <w:name w:val="List Table 2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52">
    <w:name w:val="List Table 2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53">
    <w:name w:val="List Table 2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54">
    <w:name w:val="List Table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>
    <w:name w:val="List Table 3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>
    <w:name w:val="List Table 3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>
    <w:name w:val="List Table 3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>
    <w:name w:val="List Table 3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>
    <w:name w:val="List Table 3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>
    <w:name w:val="List Table 3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>
    <w:name w:val="List Table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>
    <w:name w:val="List Table 4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>
    <w:name w:val="List Table 4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>
    <w:name w:val="List Table 4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>
    <w:name w:val="List Table 4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>
    <w:name w:val="List Table 4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>
    <w:name w:val="List Table 4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>
    <w:name w:val="List Table 5 Dark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9">
    <w:name w:val="List Table 5 Dark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0">
    <w:name w:val="List Table 5 Dark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1">
    <w:name w:val="List Table 5 Dark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2">
    <w:name w:val="List Table 5 Dark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3">
    <w:name w:val="List Table 5 Dark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4">
    <w:name w:val="List Table 5 Dark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5">
    <w:name w:val="List Table 6 Colorful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76">
    <w:name w:val="List Table 6 Colorful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77">
    <w:name w:val="List Table 6 Colorful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78">
    <w:name w:val="List Table 6 Colorful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79">
    <w:name w:val="List Table 6 Colorful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80">
    <w:name w:val="List Table 6 Colorful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81">
    <w:name w:val="List Table 6 Colorful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82">
    <w:name w:val="List Table 7 Colorful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83">
    <w:name w:val="List Table 7 Colorful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84">
    <w:name w:val="List Table 7 Colorful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85">
    <w:name w:val="List Table 7 Colorful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86">
    <w:name w:val="List Table 7 Colorful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87">
    <w:name w:val="List Table 7 Colorful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88">
    <w:name w:val="List Table 7 Colorful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89">
    <w:name w:val="Lined - Accent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0">
    <w:name w:val="Lined - Accent 1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91">
    <w:name w:val="Lined - Accent 2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92">
    <w:name w:val="Lined - Accent 3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93">
    <w:name w:val="Lined - Accent 4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94">
    <w:name w:val="Lined - Accent 5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95">
    <w:name w:val="Lined - Accent 6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96">
    <w:name w:val="Bordered &amp; Lined - Accent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7">
    <w:name w:val="Bordered &amp; Lined - Accent 1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98">
    <w:name w:val="Bordered &amp; Lined - Accent 2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99">
    <w:name w:val="Bordered &amp; Lined - Accent 3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00">
    <w:name w:val="Bordered &amp; Lined - Accent 4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01">
    <w:name w:val="Bordered &amp; Lined - Accent 5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02">
    <w:name w:val="Bordered &amp; Lined - Accent 6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03">
    <w:name w:val="Bordered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04">
    <w:name w:val="Bordered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05">
    <w:name w:val="Bordered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06">
    <w:name w:val="Bordered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07">
    <w:name w:val="Bordered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08">
    <w:name w:val="Bordered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09">
    <w:name w:val="Bordered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10">
    <w:name w:val="footnote text"/>
    <w:basedOn w:val="927"/>
    <w:link w:val="911"/>
    <w:uiPriority w:val="99"/>
    <w:semiHidden/>
    <w:unhideWhenUsed/>
    <w:pPr>
      <w:spacing w:after="40" w:line="240" w:lineRule="auto"/>
    </w:pPr>
    <w:rPr>
      <w:sz w:val="18"/>
    </w:rPr>
  </w:style>
  <w:style w:type="character" w:styleId="911">
    <w:name w:val="Footnote Text Char"/>
    <w:link w:val="910"/>
    <w:uiPriority w:val="99"/>
    <w:rPr>
      <w:sz w:val="18"/>
    </w:rPr>
  </w:style>
  <w:style w:type="character" w:styleId="912">
    <w:name w:val="footnote reference"/>
    <w:basedOn w:val="928"/>
    <w:uiPriority w:val="99"/>
    <w:unhideWhenUsed/>
    <w:rPr>
      <w:vertAlign w:val="superscript"/>
    </w:rPr>
  </w:style>
  <w:style w:type="paragraph" w:styleId="913">
    <w:name w:val="endnote text"/>
    <w:basedOn w:val="927"/>
    <w:link w:val="914"/>
    <w:uiPriority w:val="99"/>
    <w:semiHidden/>
    <w:unhideWhenUsed/>
    <w:pPr>
      <w:spacing w:after="0" w:line="240" w:lineRule="auto"/>
    </w:pPr>
    <w:rPr>
      <w:sz w:val="20"/>
    </w:rPr>
  </w:style>
  <w:style w:type="character" w:styleId="914">
    <w:name w:val="Endnote Text Char"/>
    <w:link w:val="913"/>
    <w:uiPriority w:val="99"/>
    <w:rPr>
      <w:sz w:val="20"/>
    </w:rPr>
  </w:style>
  <w:style w:type="character" w:styleId="915">
    <w:name w:val="endnote reference"/>
    <w:basedOn w:val="928"/>
    <w:uiPriority w:val="99"/>
    <w:semiHidden/>
    <w:unhideWhenUsed/>
    <w:rPr>
      <w:vertAlign w:val="superscript"/>
    </w:rPr>
  </w:style>
  <w:style w:type="paragraph" w:styleId="916">
    <w:name w:val="toc 1"/>
    <w:basedOn w:val="927"/>
    <w:next w:val="927"/>
    <w:uiPriority w:val="39"/>
    <w:unhideWhenUsed/>
    <w:pPr>
      <w:ind w:left="0" w:right="0" w:firstLine="0"/>
      <w:spacing w:after="57"/>
    </w:pPr>
  </w:style>
  <w:style w:type="paragraph" w:styleId="917">
    <w:name w:val="toc 2"/>
    <w:basedOn w:val="927"/>
    <w:next w:val="927"/>
    <w:uiPriority w:val="39"/>
    <w:unhideWhenUsed/>
    <w:pPr>
      <w:ind w:left="283" w:right="0" w:firstLine="0"/>
      <w:spacing w:after="57"/>
    </w:pPr>
  </w:style>
  <w:style w:type="paragraph" w:styleId="918">
    <w:name w:val="toc 3"/>
    <w:basedOn w:val="927"/>
    <w:next w:val="927"/>
    <w:uiPriority w:val="39"/>
    <w:unhideWhenUsed/>
    <w:pPr>
      <w:ind w:left="567" w:right="0" w:firstLine="0"/>
      <w:spacing w:after="57"/>
    </w:pPr>
  </w:style>
  <w:style w:type="paragraph" w:styleId="919">
    <w:name w:val="toc 4"/>
    <w:basedOn w:val="927"/>
    <w:next w:val="927"/>
    <w:uiPriority w:val="39"/>
    <w:unhideWhenUsed/>
    <w:pPr>
      <w:ind w:left="850" w:right="0" w:firstLine="0"/>
      <w:spacing w:after="57"/>
    </w:pPr>
  </w:style>
  <w:style w:type="paragraph" w:styleId="920">
    <w:name w:val="toc 5"/>
    <w:basedOn w:val="927"/>
    <w:next w:val="927"/>
    <w:uiPriority w:val="39"/>
    <w:unhideWhenUsed/>
    <w:pPr>
      <w:ind w:left="1134" w:right="0" w:firstLine="0"/>
      <w:spacing w:after="57"/>
    </w:pPr>
  </w:style>
  <w:style w:type="paragraph" w:styleId="921">
    <w:name w:val="toc 6"/>
    <w:basedOn w:val="927"/>
    <w:next w:val="927"/>
    <w:uiPriority w:val="39"/>
    <w:unhideWhenUsed/>
    <w:pPr>
      <w:ind w:left="1417" w:right="0" w:firstLine="0"/>
      <w:spacing w:after="57"/>
    </w:pPr>
  </w:style>
  <w:style w:type="paragraph" w:styleId="922">
    <w:name w:val="toc 7"/>
    <w:basedOn w:val="927"/>
    <w:next w:val="927"/>
    <w:uiPriority w:val="39"/>
    <w:unhideWhenUsed/>
    <w:pPr>
      <w:ind w:left="1701" w:right="0" w:firstLine="0"/>
      <w:spacing w:after="57"/>
    </w:pPr>
  </w:style>
  <w:style w:type="paragraph" w:styleId="923">
    <w:name w:val="toc 8"/>
    <w:basedOn w:val="927"/>
    <w:next w:val="927"/>
    <w:uiPriority w:val="39"/>
    <w:unhideWhenUsed/>
    <w:pPr>
      <w:ind w:left="1984" w:right="0" w:firstLine="0"/>
      <w:spacing w:after="57"/>
    </w:pPr>
  </w:style>
  <w:style w:type="paragraph" w:styleId="924">
    <w:name w:val="toc 9"/>
    <w:basedOn w:val="927"/>
    <w:next w:val="927"/>
    <w:uiPriority w:val="39"/>
    <w:unhideWhenUsed/>
    <w:pPr>
      <w:ind w:left="2268" w:right="0" w:firstLine="0"/>
      <w:spacing w:after="57"/>
    </w:pPr>
  </w:style>
  <w:style w:type="paragraph" w:styleId="925">
    <w:name w:val="TOC Heading"/>
    <w:uiPriority w:val="39"/>
    <w:unhideWhenUsed/>
  </w:style>
  <w:style w:type="paragraph" w:styleId="926">
    <w:name w:val="table of figures"/>
    <w:basedOn w:val="927"/>
    <w:next w:val="927"/>
    <w:uiPriority w:val="99"/>
    <w:unhideWhenUsed/>
    <w:pPr>
      <w:spacing w:after="0" w:afterAutospacing="0"/>
    </w:pPr>
  </w:style>
  <w:style w:type="paragraph" w:styleId="927" w:default="1">
    <w:name w:val="Normal"/>
    <w:qFormat/>
  </w:style>
  <w:style w:type="character" w:styleId="928" w:default="1">
    <w:name w:val="Default Paragraph Font"/>
    <w:uiPriority w:val="1"/>
    <w:semiHidden/>
    <w:unhideWhenUsed/>
  </w:style>
  <w:style w:type="table" w:styleId="92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30" w:default="1">
    <w:name w:val="No List"/>
    <w:uiPriority w:val="99"/>
    <w:semiHidden/>
    <w:unhideWhenUsed/>
  </w:style>
  <w:style w:type="character" w:styleId="931">
    <w:name w:val="Hyperlink"/>
    <w:basedOn w:val="928"/>
    <w:uiPriority w:val="99"/>
    <w:unhideWhenUsed/>
    <w:rPr>
      <w:color w:val="0000ff" w:themeColor="hyperlink"/>
      <w:u w:val="single"/>
    </w:rPr>
  </w:style>
  <w:style w:type="paragraph" w:styleId="932">
    <w:name w:val="Balloon Text"/>
    <w:basedOn w:val="927"/>
    <w:link w:val="933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33" w:customStyle="1">
    <w:name w:val="Текст выноски Знак"/>
    <w:basedOn w:val="928"/>
    <w:link w:val="932"/>
    <w:uiPriority w:val="99"/>
    <w:semiHidden/>
    <w:rPr>
      <w:rFonts w:ascii="Tahoma" w:hAnsi="Tahoma" w:cs="Tahoma"/>
      <w:sz w:val="16"/>
      <w:szCs w:val="16"/>
    </w:rPr>
  </w:style>
  <w:style w:type="paragraph" w:styleId="934">
    <w:name w:val="List Paragraph"/>
    <w:basedOn w:val="927"/>
    <w:uiPriority w:val="34"/>
    <w:qFormat/>
    <w:pPr>
      <w:contextualSpacing/>
      <w:ind w:left="720"/>
    </w:pPr>
  </w:style>
  <w:style w:type="paragraph" w:styleId="935" w:customStyle="1">
    <w:name w:val="ConsPlusNonformat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936">
    <w:name w:val="Header"/>
    <w:basedOn w:val="927"/>
    <w:link w:val="937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37" w:customStyle="1">
    <w:name w:val="Верхний колонтитул Знак"/>
    <w:basedOn w:val="928"/>
    <w:link w:val="936"/>
    <w:uiPriority w:val="99"/>
  </w:style>
  <w:style w:type="paragraph" w:styleId="938">
    <w:name w:val="Footer"/>
    <w:basedOn w:val="927"/>
    <w:link w:val="939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39" w:customStyle="1">
    <w:name w:val="Нижний колонтитул Знак"/>
    <w:basedOn w:val="928"/>
    <w:link w:val="938"/>
    <w:uiPriority w:val="99"/>
  </w:style>
  <w:style w:type="table" w:styleId="940">
    <w:name w:val="Table Grid"/>
    <w:basedOn w:val="929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41" w:customStyle="1">
    <w:name w:val="ConsPlusNormal"/>
    <w:pPr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customXml" Target="../customXml/item1.xml" /><Relationship Id="rId15" Type="http://schemas.openxmlformats.org/officeDocument/2006/relationships/hyperlink" Target="consultantplus://offline/ref=DC41E2772540CE89436B920E86BEF4F9345B73C5B114AE3A8765A72052AFVDF" TargetMode="External"/><Relationship Id="rId16" Type="http://schemas.openxmlformats.org/officeDocument/2006/relationships/hyperlink" Target="consultantplus://offline/ref=DC41E2772540CE89436B920E86BEF4F9345B73C5B114AE3A8765A72052AFVD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36135C-5D66-477E-802D-550D1D32B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Департамент труда и занятости населения НСО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revision>34</cp:revision>
  <dcterms:created xsi:type="dcterms:W3CDTF">2019-12-24T09:38:00Z</dcterms:created>
  <dcterms:modified xsi:type="dcterms:W3CDTF">2023-08-29T03:19:37Z</dcterms:modified>
</cp:coreProperties>
</file>