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881410" w:rsidRDefault="00881410" w:rsidP="00881410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881410" w:rsidRDefault="00881410" w:rsidP="0088141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881410" w:rsidRDefault="00881410" w:rsidP="0088141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881410" w:rsidRDefault="00881410" w:rsidP="0088141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881410" w:rsidRDefault="00881410" w:rsidP="00881410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:rsidR="00AE6DAE" w:rsidRPr="00881410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E6DAE" w:rsidRPr="00881410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DAE" w:rsidRPr="00881410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DAE" w:rsidRPr="00881410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1918B3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 21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A3F24">
        <w:rPr>
          <w:rFonts w:ascii="Times New Roman" w:hAnsi="Times New Roman" w:cs="Times New Roman"/>
          <w:sz w:val="24"/>
          <w:szCs w:val="24"/>
        </w:rPr>
        <w:t>2</w:t>
      </w:r>
      <w:r w:rsidR="00A83A3B" w:rsidRPr="00A83A3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A83A3B" w:rsidRPr="00A83A3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A83A3B" w:rsidRPr="00A83A3B">
        <w:rPr>
          <w:rFonts w:ascii="Times New Roman" w:hAnsi="Times New Roman" w:cs="Times New Roman"/>
          <w:sz w:val="24"/>
          <w:szCs w:val="24"/>
        </w:rPr>
        <w:t>3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8814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7D222C" w:rsidRDefault="007D22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22C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дополнительного образования Новосибирской области «Областной центр развития творчества детей и юношества»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81693F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Виды    деятельности   государственного учреждения </w:t>
            </w:r>
            <w:proofErr w:type="gramStart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 области</w:t>
            </w:r>
            <w:proofErr w:type="gramEnd"/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Default="004D7E0A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2C" w:rsidRPr="007D222C" w:rsidRDefault="007D222C" w:rsidP="007D2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2C">
              <w:rPr>
                <w:rFonts w:ascii="Times New Roman" w:hAnsi="Times New Roman" w:cs="Times New Roman"/>
                <w:sz w:val="24"/>
                <w:szCs w:val="24"/>
              </w:rPr>
              <w:t>Образование и наука;</w:t>
            </w:r>
          </w:p>
          <w:p w:rsidR="000D1B66" w:rsidRPr="000D1B66" w:rsidRDefault="007D222C" w:rsidP="007D2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2C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7D22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30; 31; 10</w:t>
            </w: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93F" w:rsidRPr="001A47D4" w:rsidRDefault="007D22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85.41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Default="000D1B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22C" w:rsidRPr="007D222C" w:rsidRDefault="007D22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222C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A938D9" w:rsidRDefault="00A93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8D9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A938D9" w:rsidRDefault="00A93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8D9">
              <w:rPr>
                <w:rFonts w:ascii="Times New Roman" w:hAnsi="Times New Roman" w:cs="Times New Roman"/>
                <w:sz w:val="24"/>
                <w:szCs w:val="24"/>
              </w:rPr>
              <w:t>42.Г42.0</w:t>
            </w:r>
          </w:p>
          <w:p w:rsidR="00645615" w:rsidRPr="001A47D4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A938D9" w:rsidRDefault="00A93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8D9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90"/>
        <w:gridCol w:w="1417"/>
        <w:gridCol w:w="1843"/>
        <w:gridCol w:w="992"/>
        <w:gridCol w:w="851"/>
        <w:gridCol w:w="1701"/>
        <w:gridCol w:w="1134"/>
        <w:gridCol w:w="709"/>
        <w:gridCol w:w="708"/>
        <w:gridCol w:w="709"/>
        <w:gridCol w:w="709"/>
        <w:gridCol w:w="1418"/>
      </w:tblGrid>
      <w:tr w:rsidR="007F33EB" w:rsidRPr="001A47D4" w:rsidTr="00FA4EB4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7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F33EB" w:rsidRPr="001A47D4" w:rsidTr="00FA4EB4">
        <w:trPr>
          <w:trHeight w:val="746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3A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83A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83A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EB" w:rsidRDefault="007F33EB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EB4" w:rsidRPr="001A47D4" w:rsidTr="00FA4EB4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EB4" w:rsidRPr="001A47D4" w:rsidTr="00FA4EB4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 w:rsidP="00FA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FA4EB4" w:rsidRPr="001A47D4" w:rsidTr="00FA4EB4">
        <w:trPr>
          <w:trHeight w:val="35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DD32EF" w:rsidRDefault="00BE70B3" w:rsidP="00DD3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bCs/>
                <w:sz w:val="24"/>
                <w:szCs w:val="24"/>
              </w:rPr>
              <w:t>804200О.99.0.ББ52АЕ04000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0A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Default="00BE70B3" w:rsidP="00BE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  <w:p w:rsidR="00FA4EB4" w:rsidRPr="00FA4EB4" w:rsidRDefault="00FA4EB4" w:rsidP="00BE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BE70B3" w:rsidP="00BE7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0B3" w:rsidRPr="00BE70B3" w:rsidRDefault="001918B3" w:rsidP="00BE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4EB4" w:rsidRPr="001A47D4" w:rsidTr="00FA4EB4">
        <w:trPr>
          <w:trHeight w:val="14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5" w:rsidRDefault="00C04C05" w:rsidP="000A4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804200О.99.0.</w:t>
            </w:r>
          </w:p>
          <w:p w:rsidR="00C04C05" w:rsidRPr="00C04C05" w:rsidRDefault="00C04C05" w:rsidP="000A4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ББ52АЖ24000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BE70B3" w:rsidRDefault="001918B3" w:rsidP="00C04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4C05" w:rsidRPr="001A47D4" w:rsidTr="00FA4EB4">
        <w:trPr>
          <w:trHeight w:val="24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5" w:rsidRDefault="00C04C05" w:rsidP="000A4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</w:t>
            </w:r>
          </w:p>
          <w:p w:rsidR="00C04C05" w:rsidRPr="00C04C05" w:rsidRDefault="00C04C05" w:rsidP="000A48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ББ52АЕ52000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0A485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C04C05" w:rsidP="00C04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05" w:rsidRPr="00C04C05" w:rsidRDefault="001918B3" w:rsidP="00C04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1418"/>
        <w:gridCol w:w="1701"/>
        <w:gridCol w:w="1134"/>
        <w:gridCol w:w="850"/>
        <w:gridCol w:w="1701"/>
        <w:gridCol w:w="1276"/>
        <w:gridCol w:w="851"/>
        <w:gridCol w:w="1134"/>
        <w:gridCol w:w="1134"/>
        <w:gridCol w:w="1134"/>
      </w:tblGrid>
      <w:tr w:rsidR="00C92C9C" w:rsidRPr="001A47D4" w:rsidTr="00122129">
        <w:trPr>
          <w:trHeight w:val="759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122129">
        <w:trPr>
          <w:trHeight w:val="83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83A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83A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83A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122129">
        <w:trPr>
          <w:trHeight w:val="59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122129">
        <w:trPr>
          <w:trHeight w:val="2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A83A3B" w:rsidRPr="001A47D4" w:rsidTr="00122129">
        <w:trPr>
          <w:trHeight w:val="3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Default="00A83A3B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bCs/>
                <w:sz w:val="24"/>
                <w:szCs w:val="24"/>
              </w:rPr>
              <w:t>804200О.99.0.</w:t>
            </w:r>
          </w:p>
          <w:p w:rsidR="00A83A3B" w:rsidRPr="00BE70B3" w:rsidRDefault="00A83A3B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bCs/>
                <w:sz w:val="24"/>
                <w:szCs w:val="24"/>
              </w:rPr>
              <w:t>ББ52АЕ04000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BE70B3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BE70B3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BE70B3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BE70B3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50634E" w:rsidRDefault="00A83A3B" w:rsidP="00A8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Default="00A83A3B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5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A83A3B" w:rsidRPr="000A4855" w:rsidRDefault="00A83A3B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55">
              <w:rPr>
                <w:rFonts w:ascii="Times New Roman" w:hAnsi="Times New Roman" w:cs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0A4855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55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50634E" w:rsidRDefault="00A83A3B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122129" w:rsidRDefault="00A83A3B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Default="00A83A3B" w:rsidP="00A83A3B">
            <w:pPr>
              <w:jc w:val="center"/>
            </w:pPr>
            <w:r w:rsidRPr="00514EC7">
              <w:rPr>
                <w:rFonts w:ascii="Times New Roman" w:hAnsi="Times New Roman" w:cs="Times New Roman"/>
                <w:sz w:val="24"/>
                <w:szCs w:val="24"/>
              </w:rPr>
              <w:t>45087,5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Default="00A83A3B" w:rsidP="00A83A3B">
            <w:pPr>
              <w:jc w:val="center"/>
            </w:pPr>
            <w:r w:rsidRPr="00514EC7">
              <w:rPr>
                <w:rFonts w:ascii="Times New Roman" w:hAnsi="Times New Roman" w:cs="Times New Roman"/>
                <w:sz w:val="24"/>
                <w:szCs w:val="24"/>
              </w:rPr>
              <w:t>45087,5</w:t>
            </w:r>
          </w:p>
        </w:tc>
      </w:tr>
      <w:tr w:rsidR="00A83A3B" w:rsidRPr="001A47D4" w:rsidTr="00122129">
        <w:trPr>
          <w:trHeight w:val="2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C04C05" w:rsidRDefault="00A83A3B" w:rsidP="00A83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804200О.99.0.ББ52АЖ24000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C04C05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C04C05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C04C05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C04C05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50634E" w:rsidRDefault="00A83A3B" w:rsidP="00A8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Default="00A83A3B" w:rsidP="00A83A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F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A83A3B" w:rsidRDefault="00A83A3B" w:rsidP="00A83A3B">
            <w:pPr>
              <w:spacing w:after="0"/>
              <w:jc w:val="center"/>
            </w:pPr>
            <w:r w:rsidRPr="00082F5E">
              <w:rPr>
                <w:rFonts w:ascii="Times New Roman" w:hAnsi="Times New Roman" w:cs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0A4855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55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Default="00A83A3B" w:rsidP="00A83A3B">
            <w:pPr>
              <w:jc w:val="center"/>
            </w:pPr>
            <w:r w:rsidRPr="005D58F3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50634E" w:rsidRDefault="00A83A3B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Default="00A83A3B" w:rsidP="00A83A3B">
            <w:pPr>
              <w:jc w:val="center"/>
            </w:pPr>
            <w:r w:rsidRPr="002C4F42">
              <w:rPr>
                <w:rFonts w:ascii="Times New Roman" w:hAnsi="Times New Roman" w:cs="Times New Roman"/>
                <w:sz w:val="24"/>
                <w:szCs w:val="24"/>
              </w:rPr>
              <w:t>34814,5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Default="00A83A3B" w:rsidP="00A83A3B">
            <w:pPr>
              <w:jc w:val="center"/>
            </w:pPr>
            <w:r w:rsidRPr="002C4F42">
              <w:rPr>
                <w:rFonts w:ascii="Times New Roman" w:hAnsi="Times New Roman" w:cs="Times New Roman"/>
                <w:sz w:val="24"/>
                <w:szCs w:val="24"/>
              </w:rPr>
              <w:t>34814,5</w:t>
            </w:r>
          </w:p>
        </w:tc>
      </w:tr>
      <w:tr w:rsidR="00A83A3B" w:rsidRPr="001A47D4" w:rsidTr="00122129">
        <w:trPr>
          <w:trHeight w:val="2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C04C05" w:rsidRDefault="00A83A3B" w:rsidP="00A83A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804200О.99.0.ББ52АЕ52000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C04C05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C04C05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C04C05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C04C05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50634E" w:rsidRDefault="00A83A3B" w:rsidP="00A8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Default="00A83A3B" w:rsidP="00A83A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F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A83A3B" w:rsidRDefault="00A83A3B" w:rsidP="00A83A3B">
            <w:pPr>
              <w:spacing w:after="0"/>
              <w:jc w:val="center"/>
            </w:pPr>
            <w:r w:rsidRPr="00082F5E">
              <w:rPr>
                <w:rFonts w:ascii="Times New Roman" w:hAnsi="Times New Roman" w:cs="Times New Roman"/>
                <w:sz w:val="24"/>
                <w:szCs w:val="24"/>
              </w:rPr>
              <w:t>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0A4855" w:rsidRDefault="00A83A3B" w:rsidP="00A8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55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Default="00A83A3B" w:rsidP="00A83A3B">
            <w:pPr>
              <w:jc w:val="center"/>
            </w:pPr>
            <w:r w:rsidRPr="005D58F3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Pr="0050634E" w:rsidRDefault="00A83A3B" w:rsidP="00A83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Default="00A83A3B" w:rsidP="00A83A3B">
            <w:pPr>
              <w:jc w:val="center"/>
            </w:pPr>
            <w:r w:rsidRPr="000A4C9D">
              <w:rPr>
                <w:rFonts w:ascii="Times New Roman" w:hAnsi="Times New Roman" w:cs="Times New Roman"/>
                <w:sz w:val="24"/>
                <w:szCs w:val="24"/>
              </w:rPr>
              <w:t>110738,5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B" w:rsidRDefault="00A83A3B" w:rsidP="00A83A3B">
            <w:pPr>
              <w:jc w:val="center"/>
            </w:pPr>
            <w:r w:rsidRPr="000A4C9D">
              <w:rPr>
                <w:rFonts w:ascii="Times New Roman" w:hAnsi="Times New Roman" w:cs="Times New Roman"/>
                <w:sz w:val="24"/>
                <w:szCs w:val="24"/>
              </w:rPr>
              <w:t>110738,5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AE6DAE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AE6DAE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417"/>
        <w:gridCol w:w="993"/>
        <w:gridCol w:w="4536"/>
      </w:tblGrid>
      <w:tr w:rsidR="004A3F24" w:rsidRPr="001A47D4" w:rsidTr="0073612F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73612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1A47D4" w:rsidTr="0073612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612F" w:rsidRPr="00FA4EB4" w:rsidTr="0073612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2F" w:rsidRPr="008F1797" w:rsidRDefault="0073612F" w:rsidP="0073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2F" w:rsidRPr="008F1797" w:rsidRDefault="0073612F" w:rsidP="0073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истерство </w:t>
            </w: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образования НСО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2F" w:rsidRPr="008F1797" w:rsidRDefault="0073612F" w:rsidP="0073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2F" w:rsidRPr="00203E9F" w:rsidRDefault="002F76B9" w:rsidP="0073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3612F" w:rsidRPr="00203E9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2F" w:rsidRPr="008F1797" w:rsidRDefault="0073612F" w:rsidP="0073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A321F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</w:t>
            </w:r>
            <w:r w:rsidR="00004761">
              <w:rPr>
                <w:rFonts w:ascii="Times New Roman" w:hAnsi="Times New Roman" w:cs="Times New Roman"/>
                <w:sz w:val="24"/>
                <w:szCs w:val="24"/>
              </w:rPr>
              <w:t>щение информации в сети Интернет (сайт ГАУ ДО НСО «ОЦРТДиЮ», информационная система «Навигатор дополнительного образования детей НСО»)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F10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месте, времени проведения, о режиме работы, паспорт программы, заявки на обучение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F10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:rsidTr="003A074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="006B4B9B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3A074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04768E" w:rsidRDefault="001E0705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E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3A074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04768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645615" w:rsidRPr="001A47D4" w:rsidRDefault="00645615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3A074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1A47D4" w:rsidRDefault="00304006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04768E" w:rsidRDefault="0004768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E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46"/>
        <w:gridCol w:w="1418"/>
        <w:gridCol w:w="1276"/>
        <w:gridCol w:w="1134"/>
        <w:gridCol w:w="1701"/>
        <w:gridCol w:w="1134"/>
        <w:gridCol w:w="708"/>
        <w:gridCol w:w="709"/>
        <w:gridCol w:w="709"/>
        <w:gridCol w:w="709"/>
        <w:gridCol w:w="1295"/>
      </w:tblGrid>
      <w:tr w:rsidR="004A3F24" w:rsidRPr="0050634E" w:rsidTr="008430B2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4D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государственной услуги </w:t>
            </w:r>
          </w:p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4A3F24" w:rsidRPr="0050634E" w:rsidTr="008430B2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533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3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533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3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533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3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24" w:rsidRDefault="004A3F24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8430B2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8430B2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AE6DAE" w:rsidRDefault="00AE6DAE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770F1" w:rsidRPr="0050634E" w:rsidTr="008430B2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bCs/>
                <w:sz w:val="24"/>
                <w:szCs w:val="24"/>
              </w:rPr>
              <w:t>30.1.854193.0.00006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632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50634E" w:rsidRDefault="00B770F1" w:rsidP="00B77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B770F1" w:rsidRDefault="00B770F1" w:rsidP="00B77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F1" w:rsidRPr="0050634E" w:rsidRDefault="001918B3" w:rsidP="00B77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2"/>
        <w:gridCol w:w="851"/>
        <w:gridCol w:w="992"/>
        <w:gridCol w:w="851"/>
        <w:gridCol w:w="1701"/>
        <w:gridCol w:w="1134"/>
        <w:gridCol w:w="708"/>
        <w:gridCol w:w="2835"/>
        <w:gridCol w:w="709"/>
        <w:gridCol w:w="709"/>
        <w:gridCol w:w="709"/>
      </w:tblGrid>
      <w:tr w:rsidR="004D7E0A" w:rsidRPr="00404581" w:rsidTr="00C851B5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:rsidTr="006515F5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533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3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533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3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533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33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851B5" w:rsidRPr="00404581" w:rsidTr="006515F5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1B5" w:rsidRPr="00404581" w:rsidTr="006515F5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851B5" w:rsidRPr="00404581" w:rsidTr="006515F5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B770F1" w:rsidRDefault="008430B2" w:rsidP="00843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bCs/>
                <w:sz w:val="24"/>
                <w:szCs w:val="24"/>
              </w:rPr>
              <w:t>30.1.854193.0.00006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B770F1" w:rsidRDefault="008430B2" w:rsidP="00843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B770F1" w:rsidRDefault="008430B2" w:rsidP="00843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B770F1" w:rsidRDefault="008430B2" w:rsidP="00843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B770F1" w:rsidRDefault="008430B2" w:rsidP="00843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404581" w:rsidRDefault="008430B2" w:rsidP="008430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8430B2" w:rsidRDefault="008430B2" w:rsidP="00843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C851B5" w:rsidRDefault="008430B2" w:rsidP="00C85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C851B5" w:rsidRDefault="008430B2" w:rsidP="00C85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C851B5" w:rsidRDefault="008430B2" w:rsidP="000A0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E95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Мероприятия по выявлению, развитию и поддержке высокомотивированных детей и талантливой молодежи: методическое и комплексное сопровождение деятельности сети специализированных классов математической и естественнонаучной направленности, изучение и обобщение опыта работы в сфере дополнительного образования, сопровождение олимпиадного движения </w:t>
            </w:r>
            <w:r w:rsidRPr="00040E9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обучающихся, обеспечение взаимодействия образовательных организаций в рамках проекта «Успех каждого ребенка»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D91E5A" w:rsidRDefault="00533C02" w:rsidP="00843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D91E5A" w:rsidRDefault="00533C02" w:rsidP="00843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0B2" w:rsidRPr="00D91E5A" w:rsidRDefault="00533C02" w:rsidP="00843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5E1DA8" w:rsidRPr="001A47D4" w:rsidRDefault="005E1DA8" w:rsidP="005E1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E1DA8" w:rsidRPr="001A47D4" w:rsidRDefault="005E1DA8" w:rsidP="005E1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5E1DA8" w:rsidRPr="001A47D4" w:rsidTr="003A074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DA8" w:rsidRDefault="005E1DA8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DA8" w:rsidRDefault="005E1DA8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DA8" w:rsidRDefault="005E1DA8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DA8" w:rsidRPr="001A47D4" w:rsidRDefault="005E1DA8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DA8" w:rsidRPr="001A47D4" w:rsidTr="003A074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DA8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DA8" w:rsidRPr="005E1DA8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культуры, спорта, молодежной политики, на разных ступенях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DA8" w:rsidRPr="001A47D4" w:rsidRDefault="005E1DA8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DA8" w:rsidRPr="001A47D4" w:rsidTr="003A074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DA8" w:rsidRPr="001A47D4" w:rsidRDefault="005E1DA8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A8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DA8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DA8" w:rsidRPr="001A47D4" w:rsidTr="003A0749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DA8" w:rsidRPr="001A47D4" w:rsidRDefault="005E1DA8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A8" w:rsidRPr="001A47D4" w:rsidRDefault="005E1DA8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DA8" w:rsidRPr="001A47D4" w:rsidTr="003A074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E1DA8" w:rsidRPr="001A47D4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DA8" w:rsidRPr="0004768E" w:rsidRDefault="005E1DA8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E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1DA8" w:rsidRPr="001A47D4" w:rsidRDefault="005E1DA8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A8" w:rsidRPr="001A47D4" w:rsidRDefault="005E1DA8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DA8" w:rsidRDefault="005E1DA8" w:rsidP="005E1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E1DA8">
          <w:pgSz w:w="11906" w:h="16838"/>
          <w:pgMar w:top="1134" w:right="567" w:bottom="1134" w:left="1418" w:header="720" w:footer="720" w:gutter="0"/>
          <w:cols w:space="720"/>
        </w:sectPr>
      </w:pPr>
    </w:p>
    <w:p w:rsidR="004D76E7" w:rsidRDefault="004D76E7" w:rsidP="004D76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6E7" w:rsidRDefault="004D76E7" w:rsidP="004D76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6E7" w:rsidRPr="001A47D4" w:rsidRDefault="004D76E7" w:rsidP="004D76E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6E7" w:rsidRPr="001A47D4" w:rsidRDefault="004D76E7" w:rsidP="004D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46"/>
        <w:gridCol w:w="1418"/>
        <w:gridCol w:w="1276"/>
        <w:gridCol w:w="1134"/>
        <w:gridCol w:w="1701"/>
        <w:gridCol w:w="1134"/>
        <w:gridCol w:w="708"/>
        <w:gridCol w:w="709"/>
        <w:gridCol w:w="709"/>
        <w:gridCol w:w="709"/>
        <w:gridCol w:w="1295"/>
      </w:tblGrid>
      <w:tr w:rsidR="004D76E7" w:rsidRPr="0050634E" w:rsidTr="003A0749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4D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</w:t>
            </w:r>
          </w:p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4D76E7" w:rsidRPr="0050634E" w:rsidTr="003A0749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E7" w:rsidRPr="0050634E" w:rsidRDefault="004D76E7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E7" w:rsidRPr="0050634E" w:rsidRDefault="004D76E7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E7" w:rsidRPr="0050634E" w:rsidRDefault="004D76E7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161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10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161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10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161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10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6E7" w:rsidRDefault="004D76E7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E7" w:rsidRPr="0050634E" w:rsidTr="003A0749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E7" w:rsidRPr="0050634E" w:rsidRDefault="004D76E7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6E7" w:rsidRPr="0050634E" w:rsidRDefault="004D76E7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E7" w:rsidRPr="0050634E" w:rsidTr="003A0749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6E7" w:rsidRPr="0050634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AE6DAE" w:rsidRDefault="004D76E7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D76E7" w:rsidRPr="0050634E" w:rsidTr="003A0749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4D76E7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4D76E7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4D76E7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4D76E7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4D76E7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50634E" w:rsidRDefault="004D76E7" w:rsidP="004D7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B770F1" w:rsidRDefault="004D76E7" w:rsidP="004D7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B770F1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B770F1" w:rsidRDefault="004D76E7" w:rsidP="004D7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B770F1" w:rsidRDefault="004D76E7" w:rsidP="004D7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B770F1" w:rsidRDefault="004D76E7" w:rsidP="004D7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B770F1" w:rsidRDefault="004D76E7" w:rsidP="004D7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E7" w:rsidRPr="0050634E" w:rsidRDefault="004D76E7" w:rsidP="004D7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6E7" w:rsidRPr="001A47D4" w:rsidRDefault="004D76E7" w:rsidP="004D7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6E7" w:rsidRPr="001A47D4" w:rsidRDefault="004D76E7" w:rsidP="004D76E7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4D76E7" w:rsidRDefault="004D76E7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D76E7" w:rsidSect="004D76E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D7B29" w:rsidRPr="001A47D4" w:rsidRDefault="004D7B29" w:rsidP="004D7B2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B29" w:rsidRPr="001A47D4" w:rsidRDefault="004D7B29" w:rsidP="004D7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2"/>
        <w:gridCol w:w="851"/>
        <w:gridCol w:w="992"/>
        <w:gridCol w:w="851"/>
        <w:gridCol w:w="1701"/>
        <w:gridCol w:w="1134"/>
        <w:gridCol w:w="708"/>
        <w:gridCol w:w="2835"/>
        <w:gridCol w:w="709"/>
        <w:gridCol w:w="709"/>
        <w:gridCol w:w="709"/>
      </w:tblGrid>
      <w:tr w:rsidR="004D7B29" w:rsidRPr="00404581" w:rsidTr="003A074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D7B29" w:rsidRPr="00404581" w:rsidTr="003A074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50634E" w:rsidRDefault="004D7B29" w:rsidP="00161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10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50634E" w:rsidRDefault="004D7B29" w:rsidP="00161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10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50634E" w:rsidRDefault="004D7B29" w:rsidP="00161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10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4D7B29" w:rsidRPr="00404581" w:rsidTr="003A0749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29" w:rsidRPr="00404581" w:rsidRDefault="004D7B29" w:rsidP="003A0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B29" w:rsidRPr="00404581" w:rsidTr="003A0749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B29" w:rsidRPr="00404581" w:rsidTr="003A0749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B770F1" w:rsidRDefault="004D7B29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B770F1" w:rsidRDefault="004D7B29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B770F1" w:rsidRDefault="004D7B29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B770F1" w:rsidRDefault="004D7B29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B770F1" w:rsidRDefault="004D7B29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404581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8430B2" w:rsidRDefault="004D7B2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C851B5" w:rsidRDefault="004D7B29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C851B5" w:rsidRDefault="004D7B29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C851B5" w:rsidRDefault="004D7B29" w:rsidP="003A0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40E9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Организационно-методическое сопровождение образовательных организаций и родительской общественности по работе с различными категориями детей, том числе одаренными; информационно-методическое обеспечение деятельности педагогов, координация их деятельности по различным направлениям дополнительного образования, поддержка и </w:t>
            </w:r>
            <w:r w:rsidRPr="00040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стимулирование высокомотивированных и талантливых детей Новосибирской области, организация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161062" w:rsidRDefault="00161062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161062" w:rsidRDefault="00161062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29" w:rsidRPr="00161062" w:rsidRDefault="00161062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4D7B29" w:rsidRPr="001A47D4" w:rsidRDefault="004D7B29" w:rsidP="004D7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B29" w:rsidRPr="001A47D4" w:rsidRDefault="004D7B29" w:rsidP="004D7B29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5E1DA8" w:rsidRDefault="005E1DA8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B29" w:rsidRDefault="004D7B29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D7B29" w:rsidSect="004D7B2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CF12CE" w:rsidRPr="001A47D4" w:rsidTr="003A074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12CE" w:rsidRDefault="00CF12CE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CE" w:rsidRDefault="00CF12CE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CE" w:rsidRDefault="00CF12CE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CE" w:rsidRPr="001A47D4" w:rsidRDefault="00CF12CE" w:rsidP="003A0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CE" w:rsidRPr="001A47D4" w:rsidTr="003A074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2CE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CE" w:rsidRPr="00CF12CE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12C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12CE" w:rsidRPr="001A47D4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CE" w:rsidRPr="001A47D4" w:rsidTr="003A074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12CE" w:rsidRPr="001A47D4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CE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CE" w:rsidRPr="001A47D4" w:rsidTr="003A0749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12CE" w:rsidRPr="001A47D4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1A47D4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CE" w:rsidRPr="001A47D4" w:rsidTr="003A074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F12CE" w:rsidRPr="001A47D4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CE" w:rsidRPr="0004768E" w:rsidRDefault="00CF12CE" w:rsidP="003A0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E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12CE" w:rsidRPr="001A47D4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1A47D4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2CE" w:rsidRDefault="00CF12CE" w:rsidP="00CF1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F12CE">
          <w:pgSz w:w="11906" w:h="16838"/>
          <w:pgMar w:top="1134" w:right="567" w:bottom="1134" w:left="1418" w:header="720" w:footer="720" w:gutter="0"/>
          <w:cols w:space="720"/>
        </w:sectPr>
      </w:pPr>
    </w:p>
    <w:p w:rsidR="00CF12CE" w:rsidRDefault="00CF12CE" w:rsidP="00CF12C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2CE" w:rsidRDefault="00CF12CE" w:rsidP="00CF12C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46"/>
        <w:gridCol w:w="1418"/>
        <w:gridCol w:w="1276"/>
        <w:gridCol w:w="1134"/>
        <w:gridCol w:w="1701"/>
        <w:gridCol w:w="1134"/>
        <w:gridCol w:w="708"/>
        <w:gridCol w:w="709"/>
        <w:gridCol w:w="709"/>
        <w:gridCol w:w="709"/>
        <w:gridCol w:w="1295"/>
      </w:tblGrid>
      <w:tr w:rsidR="00CF12CE" w:rsidRPr="0050634E" w:rsidTr="003A0749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4D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государственной услуги </w:t>
            </w:r>
          </w:p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CF12CE" w:rsidRPr="0050634E" w:rsidTr="003A0749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50634E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50634E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50634E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2A7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A7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2A7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A7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2A7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A7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2CE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CE" w:rsidRPr="0050634E" w:rsidTr="003A0749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50634E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50634E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CE" w:rsidRPr="0050634E" w:rsidTr="003A0749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AE6DA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CF12CE" w:rsidRPr="0050634E" w:rsidTr="003A0749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4D76E7" w:rsidRDefault="003A0749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49">
              <w:rPr>
                <w:rFonts w:ascii="Times New Roman" w:hAnsi="Times New Roman" w:cs="Times New Roman"/>
                <w:sz w:val="24"/>
                <w:szCs w:val="24"/>
              </w:rPr>
              <w:t>30.1.854193.0.00018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4D76E7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4D76E7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4D76E7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4D76E7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50634E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50634E" w:rsidRDefault="00806AD4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CF12CE" w:rsidRDefault="00CF12CE" w:rsidP="00CF1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F12CE" w:rsidSect="004D76E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2"/>
        <w:gridCol w:w="851"/>
        <w:gridCol w:w="992"/>
        <w:gridCol w:w="851"/>
        <w:gridCol w:w="1701"/>
        <w:gridCol w:w="1134"/>
        <w:gridCol w:w="708"/>
        <w:gridCol w:w="2835"/>
        <w:gridCol w:w="709"/>
        <w:gridCol w:w="709"/>
        <w:gridCol w:w="709"/>
      </w:tblGrid>
      <w:tr w:rsidR="00CF12CE" w:rsidRPr="00404581" w:rsidTr="003A074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CF12CE" w:rsidRPr="00404581" w:rsidTr="003A074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2A7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A7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2A7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A7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50634E" w:rsidRDefault="00CF12CE" w:rsidP="002A7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A7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F12CE" w:rsidRPr="00404581" w:rsidTr="003A0749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2CE" w:rsidRPr="00404581" w:rsidRDefault="00CF12CE" w:rsidP="003A0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CE" w:rsidRPr="00404581" w:rsidTr="003A0749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F12CE" w:rsidRPr="00404581" w:rsidTr="003A0749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3A0749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49">
              <w:rPr>
                <w:rFonts w:ascii="Times New Roman" w:hAnsi="Times New Roman" w:cs="Times New Roman"/>
                <w:sz w:val="24"/>
                <w:szCs w:val="24"/>
              </w:rPr>
              <w:t>30.1.854193.0.00018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B770F1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404581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8430B2" w:rsidRDefault="00CF12CE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C851B5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C851B5" w:rsidRDefault="00CF12CE" w:rsidP="003A0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C851B5" w:rsidRDefault="003A0749" w:rsidP="003A07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57B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региональных этапов всероссийских конкурсов, отборочных туров, региональных конкурсов, мероприятий к памятным датам, соревнований по различным направленностям, реализация образовательных проектов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D91E5A" w:rsidRDefault="002A7C0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D91E5A" w:rsidRDefault="002A7C0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CE" w:rsidRPr="00D91E5A" w:rsidRDefault="002A7C09" w:rsidP="003A0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</w:tbl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2CE" w:rsidRPr="001A47D4" w:rsidRDefault="00CF12CE" w:rsidP="00CF12CE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CF12CE" w:rsidRDefault="00CF12CE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F12CE" w:rsidSect="00CF12C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3"/>
      </w:tblGrid>
      <w:tr w:rsidR="002E3754" w:rsidRPr="003A2E80" w:rsidTr="003A0749">
        <w:tc>
          <w:tcPr>
            <w:tcW w:w="1557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3A0749">
        <w:tc>
          <w:tcPr>
            <w:tcW w:w="1557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3A0749">
        <w:tc>
          <w:tcPr>
            <w:tcW w:w="1557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3A0749">
        <w:tc>
          <w:tcPr>
            <w:tcW w:w="1557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3A0749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404581" w:rsidSect="004D76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04761"/>
    <w:rsid w:val="0004768E"/>
    <w:rsid w:val="00065B11"/>
    <w:rsid w:val="00092140"/>
    <w:rsid w:val="000A014D"/>
    <w:rsid w:val="000A4855"/>
    <w:rsid w:val="000D1B66"/>
    <w:rsid w:val="001212B8"/>
    <w:rsid w:val="00122129"/>
    <w:rsid w:val="00161062"/>
    <w:rsid w:val="00181CFE"/>
    <w:rsid w:val="00184C72"/>
    <w:rsid w:val="00187E32"/>
    <w:rsid w:val="001918B3"/>
    <w:rsid w:val="001A47D4"/>
    <w:rsid w:val="001A5D83"/>
    <w:rsid w:val="001E0705"/>
    <w:rsid w:val="001E2EC4"/>
    <w:rsid w:val="001F72BB"/>
    <w:rsid w:val="002A34A1"/>
    <w:rsid w:val="002A7C09"/>
    <w:rsid w:val="002D0840"/>
    <w:rsid w:val="002E3754"/>
    <w:rsid w:val="002F1D81"/>
    <w:rsid w:val="002F76B9"/>
    <w:rsid w:val="00304006"/>
    <w:rsid w:val="0035013B"/>
    <w:rsid w:val="003924AD"/>
    <w:rsid w:val="003A0749"/>
    <w:rsid w:val="003A63DE"/>
    <w:rsid w:val="00404581"/>
    <w:rsid w:val="004635C9"/>
    <w:rsid w:val="00465E4F"/>
    <w:rsid w:val="004750D3"/>
    <w:rsid w:val="00477D05"/>
    <w:rsid w:val="00497FD8"/>
    <w:rsid w:val="004A3F24"/>
    <w:rsid w:val="004D13BD"/>
    <w:rsid w:val="004D76E7"/>
    <w:rsid w:val="004D7B29"/>
    <w:rsid w:val="004D7E0A"/>
    <w:rsid w:val="0050634E"/>
    <w:rsid w:val="005125DF"/>
    <w:rsid w:val="00515A05"/>
    <w:rsid w:val="00533C02"/>
    <w:rsid w:val="00596587"/>
    <w:rsid w:val="005E1DA8"/>
    <w:rsid w:val="0063235C"/>
    <w:rsid w:val="00645615"/>
    <w:rsid w:val="006515F5"/>
    <w:rsid w:val="0065550F"/>
    <w:rsid w:val="006618AF"/>
    <w:rsid w:val="006A2D19"/>
    <w:rsid w:val="006B4B9B"/>
    <w:rsid w:val="0073612F"/>
    <w:rsid w:val="00774C75"/>
    <w:rsid w:val="0077758E"/>
    <w:rsid w:val="007C1483"/>
    <w:rsid w:val="007D222C"/>
    <w:rsid w:val="007F2149"/>
    <w:rsid w:val="007F33EB"/>
    <w:rsid w:val="008020B9"/>
    <w:rsid w:val="00806AD4"/>
    <w:rsid w:val="0081232E"/>
    <w:rsid w:val="008152AF"/>
    <w:rsid w:val="0081693F"/>
    <w:rsid w:val="00837709"/>
    <w:rsid w:val="008430B2"/>
    <w:rsid w:val="0087641B"/>
    <w:rsid w:val="00881410"/>
    <w:rsid w:val="008A3155"/>
    <w:rsid w:val="0092784C"/>
    <w:rsid w:val="0093154F"/>
    <w:rsid w:val="00967F1D"/>
    <w:rsid w:val="009D4364"/>
    <w:rsid w:val="009E36FB"/>
    <w:rsid w:val="00A179DC"/>
    <w:rsid w:val="00A321FE"/>
    <w:rsid w:val="00A52D84"/>
    <w:rsid w:val="00A660DD"/>
    <w:rsid w:val="00A6716C"/>
    <w:rsid w:val="00A83A3B"/>
    <w:rsid w:val="00A938D9"/>
    <w:rsid w:val="00AE6DAE"/>
    <w:rsid w:val="00B12648"/>
    <w:rsid w:val="00B3360D"/>
    <w:rsid w:val="00B54187"/>
    <w:rsid w:val="00B770F1"/>
    <w:rsid w:val="00B8380F"/>
    <w:rsid w:val="00B878CB"/>
    <w:rsid w:val="00BE70B3"/>
    <w:rsid w:val="00C04C05"/>
    <w:rsid w:val="00C34C4E"/>
    <w:rsid w:val="00C553A6"/>
    <w:rsid w:val="00C851B5"/>
    <w:rsid w:val="00C92C9C"/>
    <w:rsid w:val="00CE7B35"/>
    <w:rsid w:val="00CF12CE"/>
    <w:rsid w:val="00D5688C"/>
    <w:rsid w:val="00D91E5A"/>
    <w:rsid w:val="00DB6108"/>
    <w:rsid w:val="00DD32EF"/>
    <w:rsid w:val="00DD67DB"/>
    <w:rsid w:val="00ED2518"/>
    <w:rsid w:val="00ED6701"/>
    <w:rsid w:val="00F1032D"/>
    <w:rsid w:val="00F107F7"/>
    <w:rsid w:val="00F20A0E"/>
    <w:rsid w:val="00F217CF"/>
    <w:rsid w:val="00F43DFA"/>
    <w:rsid w:val="00F50396"/>
    <w:rsid w:val="00F85BDC"/>
    <w:rsid w:val="00F9408B"/>
    <w:rsid w:val="00FA4EB4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54191"/>
  <w15:docId w15:val="{2B46EA1A-8D27-4130-A00D-37FF3A97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04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C05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FA4E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12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hyperlink" Target="consultantplus://offline/ref=0530D47C81F9194EDDF032EF48DDDF8ADD4F37EF8AE45A0B8A573E9A1DeEb0F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D8D616-D7BD-4398-BE11-3B61037E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2331</Words>
  <Characters>13290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37</cp:revision>
  <cp:lastPrinted>2019-12-12T07:17:00Z</cp:lastPrinted>
  <dcterms:created xsi:type="dcterms:W3CDTF">2019-12-09T09:35:00Z</dcterms:created>
  <dcterms:modified xsi:type="dcterms:W3CDTF">2022-05-23T10:11:00Z</dcterms:modified>
</cp:coreProperties>
</file>