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ПРИСУЖДЕНИЕ ПРЕМИИ ЛУЧШИМ УЧИТЕЛЯМ</w:t>
      </w:r>
      <w:r>
        <w:rPr>
          <w:b/>
          <w:caps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ЗА ДОСТИЖЕНИЯ В ПЕДАГОГИЧЕСКОЙ ДЕЯТЕЛЬНОСТИ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jc w:val="center"/>
        <w:tabs>
          <w:tab w:val="left" w:pos="14193" w:leader="underscor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ЭКСПЕРТНОЕ ЗАКЛЮЧЕНИЕ НА </w:t>
      </w:r>
      <w:r>
        <w:rPr>
          <w:b/>
          <w:caps/>
          <w:sz w:val="28"/>
          <w:szCs w:val="28"/>
        </w:rPr>
        <w:t xml:space="preserve">деятельность учителя</w:t>
      </w:r>
      <w:r>
        <w:rPr>
          <w:b/>
          <w:sz w:val="28"/>
          <w:szCs w:val="28"/>
        </w:rPr>
        <w:t xml:space="preserve"> _________</w:t>
      </w:r>
      <w:r>
        <w:rPr>
          <w:b/>
          <w:sz w:val="28"/>
          <w:szCs w:val="28"/>
        </w:rPr>
        <w:t xml:space="preserve">_________________________</w:t>
      </w:r>
      <w:r>
        <w:rPr>
          <w:b/>
          <w:sz w:val="28"/>
          <w:szCs w:val="28"/>
        </w:rPr>
        <w:t xml:space="preserve">РЕГИСТРАЦИОННЫЙ НОМЕР ___________________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tabs>
          <w:tab w:val="left" w:pos="14193" w:leader="underscor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(фамилия, имя, отчество)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tabs>
          <w:tab w:val="left" w:pos="14193" w:leader="underscor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94"/>
        <w:tabs>
          <w:tab w:val="left" w:pos="14193" w:leader="underscore"/>
        </w:tabs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157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622"/>
        <w:gridCol w:w="4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/>
        </w:trPr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89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Критерии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89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Балл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/>
        </w:trPr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894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Наличие </w:t>
            </w:r>
            <w:r>
              <w:rPr>
                <w:b/>
              </w:rPr>
              <w:t xml:space="preserve">у учителя </w:t>
            </w:r>
            <w:r>
              <w:rPr>
                <w:b/>
              </w:rPr>
              <w:t xml:space="preserve">собственной методической</w:t>
            </w:r>
            <w:r>
              <w:rPr>
                <w:b/>
              </w:rPr>
              <w:t xml:space="preserve"> разработки по преподаваемому предмету</w:t>
            </w:r>
            <w:r>
              <w:rPr>
                <w:b/>
              </w:rPr>
              <w:t xml:space="preserve">,</w:t>
            </w:r>
            <w:r>
              <w:rPr>
                <w:b/>
              </w:rPr>
              <w:t xml:space="preserve"> имеющей положительное заключение по итогам апробации </w:t>
            </w:r>
            <w:r>
              <w:rPr>
                <w:b/>
              </w:rPr>
              <w:t xml:space="preserve">в профессиональном сообществе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4"/>
              <w:ind w:left="285" w:hanging="285"/>
              <w:jc w:val="both"/>
            </w:pPr>
            <w:r>
              <w:t xml:space="preserve">1.</w:t>
            </w:r>
            <w:r>
              <w:rPr>
                <w:b/>
              </w:rPr>
              <w:t xml:space="preserve"> </w:t>
            </w:r>
            <w:r>
              <w:t xml:space="preserve">Наличие методических публикаций (в том числе докладов на научно-практических конференциях, семинарах), отражающих отдельные элементы методической системы учителя.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2. Систематическая работа по распространению </w:t>
            </w:r>
            <w:r>
              <w:t xml:space="preserve">авторского</w:t>
            </w:r>
            <w:r>
              <w:t xml:space="preserve"> педагогического опыта (в форме регулярных мастер-классов, семинаров, проведения занятий на курсах повышения квалифика</w:t>
            </w:r>
            <w:r>
              <w:t xml:space="preserve">ции), в том числе через Интернет.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3. Наличие последователей, т.е. коллег, работающих по методической системе данного учителя или активно использующих отдель</w:t>
            </w:r>
            <w:r>
              <w:t xml:space="preserve">ные ее элементы, наставничество.</w:t>
            </w:r>
            <w:r/>
          </w:p>
          <w:p>
            <w:pPr>
              <w:pStyle w:val="894"/>
              <w:jc w:val="both"/>
              <w:rPr>
                <w:b/>
                <w:sz w:val="26"/>
                <w:szCs w:val="26"/>
              </w:rPr>
            </w:pPr>
            <w:r>
              <w:t xml:space="preserve">4. </w:t>
            </w:r>
            <w:r>
              <w:t xml:space="preserve">И</w:t>
            </w:r>
            <w:r>
              <w:t xml:space="preserve">зложение собственной методической системы в форме публикации (учебного пособия, методических рекомендаций, монографии) или диссертационного исследования.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894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1 2 3 4 5 6 7 8 9 10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Cs/>
                <w:spacing w:val="80"/>
              </w:rPr>
              <w:t xml:space="preserve"> 3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/>
                <w:caps/>
                <w:sz w:val="26"/>
                <w:szCs w:val="26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/>
                <w:caps/>
                <w:sz w:val="26"/>
                <w:szCs w:val="26"/>
              </w:rPr>
            </w:r>
            <w:r>
              <w:rPr>
                <w:b/>
                <w:caps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894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II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Высокие </w:t>
            </w:r>
            <w:r>
              <w:rPr>
                <w:b/>
              </w:rPr>
              <w:t xml:space="preserve">(с позитивной динамикой</w:t>
            </w:r>
            <w:r>
              <w:rPr>
                <w:b/>
              </w:rPr>
              <w:t xml:space="preserve"> за последние три года</w:t>
            </w:r>
            <w:r>
              <w:rPr>
                <w:b/>
              </w:rPr>
              <w:t xml:space="preserve">)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результаты учебных достижений обучающихся</w:t>
            </w:r>
            <w:r>
              <w:rPr>
                <w:b/>
              </w:rPr>
              <w:t xml:space="preserve">, которые обучаются у учителя: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4"/>
              <w:ind w:left="285" w:hanging="285"/>
              <w:jc w:val="both"/>
            </w:pPr>
            <w:r>
              <w:t xml:space="preserve">1. </w:t>
            </w:r>
            <w:r>
              <w:t xml:space="preserve">Позитивная динамика </w:t>
            </w:r>
            <w:r>
              <w:t xml:space="preserve">уровня обученности</w:t>
            </w:r>
            <w:r>
              <w:t xml:space="preserve"> учащихся за последние три г</w:t>
            </w:r>
            <w:r>
              <w:t xml:space="preserve">о</w:t>
            </w:r>
            <w:r>
              <w:t xml:space="preserve">да</w:t>
            </w:r>
            <w:r>
              <w:t xml:space="preserve">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2.</w:t>
            </w:r>
            <w:r>
              <w:t xml:space="preserve"> </w:t>
            </w:r>
            <w:r>
              <w:t xml:space="preserve">Позитивная динамика </w:t>
            </w:r>
            <w:r>
              <w:t xml:space="preserve">высокого уровня обученности</w:t>
            </w:r>
            <w:r>
              <w:t xml:space="preserve"> учащихся за последние три года</w:t>
            </w:r>
            <w:r>
              <w:t xml:space="preserve">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3.</w:t>
            </w:r>
            <w:r>
              <w:t xml:space="preserve"> </w:t>
            </w:r>
            <w:r>
              <w:t xml:space="preserve">Наличие (положительная динамика) </w:t>
            </w:r>
            <w:r>
              <w:t xml:space="preserve">количества </w:t>
            </w:r>
            <w:r>
              <w:t xml:space="preserve">учащихся, принимающих участие в предметных олимпиадах муниципального, регионального, федерального и международного уровней и результативность</w:t>
            </w:r>
            <w:r>
              <w:t xml:space="preserve"> участия</w:t>
            </w:r>
            <w:r>
              <w:t xml:space="preserve"> (призовые места).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4</w:t>
            </w:r>
            <w:r>
              <w:t xml:space="preserve">. </w:t>
            </w:r>
            <w:r>
              <w:t xml:space="preserve">Увеличение количества и повышение качества творческих раб</w:t>
            </w:r>
            <w:r>
              <w:t xml:space="preserve">от учащихся по предмету (проектов</w:t>
            </w:r>
            <w:r>
              <w:t xml:space="preserve"> исследований и др.)</w:t>
            </w:r>
            <w:r>
              <w:t xml:space="preserve">.</w:t>
            </w:r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894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1 2 3 4 5 6 7 8 9 10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Cs/>
                <w:spacing w:val="80"/>
              </w:rPr>
              <w:t xml:space="preserve"> 3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894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III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Высокие результаты внеурочной деятельности обучающихся по учебному предмету</w:t>
            </w:r>
            <w:r>
              <w:rPr>
                <w:b/>
              </w:rPr>
              <w:t xml:space="preserve">, который преподает учитель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4"/>
              <w:ind w:left="285" w:hanging="285"/>
              <w:jc w:val="both"/>
            </w:pPr>
            <w:r>
              <w:t xml:space="preserve">1. </w:t>
            </w:r>
            <w:r>
              <w:t xml:space="preserve">В</w:t>
            </w:r>
            <w:r>
              <w:t xml:space="preserve">едение</w:t>
            </w:r>
            <w:r>
              <w:t xml:space="preserve"> учителем </w:t>
            </w:r>
            <w:r>
              <w:t xml:space="preserve"> на протяжении ряда лет</w:t>
            </w:r>
            <w:r>
              <w:t xml:space="preserve"> кружков, секций, факультативов, популярных среди учащихся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2. </w:t>
            </w:r>
            <w:r>
              <w:t xml:space="preserve">Результаты</w:t>
            </w:r>
            <w:r>
              <w:t xml:space="preserve"> внеурочной деятельности учащихся</w:t>
            </w:r>
            <w:r>
              <w:t xml:space="preserve"> (творческие работы учащихся, участие в конференциях, конкурсах, концертах, спортивных соревнованиях) за последние три года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3.</w:t>
            </w:r>
            <w:r>
              <w:t xml:space="preserve"> </w:t>
            </w:r>
            <w:r>
              <w:t xml:space="preserve">Высокие достижения </w:t>
            </w:r>
            <w:r>
              <w:t xml:space="preserve">учащихся</w:t>
            </w:r>
            <w:r>
              <w:t xml:space="preserve"> (первые и призовые места), посещавших внеурочные мероприятия учителя, </w:t>
            </w:r>
            <w:r>
              <w:t xml:space="preserve"> в конкурсах, </w:t>
            </w:r>
            <w:r>
              <w:t xml:space="preserve">спортивных соревнованиях, марафонах, концертах, конференциях, семинарах муниципального, регионального, федерального и международного уровней</w:t>
            </w:r>
            <w:r>
              <w:t xml:space="preserve"> за последние три года</w:t>
            </w:r>
            <w:r>
              <w:t xml:space="preserve">.</w:t>
            </w:r>
            <w:r/>
          </w:p>
          <w:p>
            <w:pPr>
              <w:pStyle w:val="894"/>
              <w:ind w:left="285" w:hanging="285"/>
              <w:jc w:val="both"/>
            </w:pPr>
            <w:r/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894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1 2 3 4 5 6 7 8 9 10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0 1 2 3 4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0 1 2 3 4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ind w:left="720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894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IV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Создание учителем условий для адресной работы с различными категориями обучающихся</w:t>
            </w:r>
            <w:r>
              <w:rPr>
                <w:b/>
              </w:rPr>
              <w:t xml:space="preserve"> (одаренные дети, дети из социально неблагополучных семей, дети, попавшие в трудные жизненные ситуации, дети из семей ми</w:t>
            </w:r>
            <w:r>
              <w:rPr>
                <w:b/>
              </w:rPr>
              <w:t xml:space="preserve">грантов, дети – сироты, дети, оставшиеся без попечения родителей, дети- инвалиды, дети с ОВЗ, дети девиантным (общественно опасным) поведением)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4"/>
              <w:jc w:val="both"/>
            </w:pPr>
            <w:r>
              <w:t xml:space="preserve">1. О</w:t>
            </w:r>
            <w:r>
              <w:t xml:space="preserve">даренные дети</w:t>
            </w:r>
            <w:r>
              <w:t xml:space="preserve">.</w:t>
            </w:r>
            <w:r>
              <w:t xml:space="preserve"> </w:t>
            </w:r>
            <w:r/>
          </w:p>
          <w:p>
            <w:pPr>
              <w:pStyle w:val="894"/>
              <w:jc w:val="both"/>
            </w:pPr>
            <w:r>
              <w:t xml:space="preserve">2. Д</w:t>
            </w:r>
            <w:r>
              <w:t xml:space="preserve">ети из социально неблагополучных семей, дети, попавшие в трудные жизненные ситуации, дети из семей мигрантов</w:t>
            </w:r>
            <w:r>
              <w:t xml:space="preserve">.</w:t>
            </w:r>
            <w:r/>
          </w:p>
          <w:p>
            <w:pPr>
              <w:pStyle w:val="894"/>
              <w:jc w:val="both"/>
            </w:pPr>
            <w:r>
              <w:t xml:space="preserve">3. Д</w:t>
            </w:r>
            <w:r>
              <w:t xml:space="preserve">ети-сироты и дети, оставшиеся без попечения родителей, дети-инвалиды</w:t>
            </w:r>
            <w:r>
              <w:t xml:space="preserve">.</w:t>
            </w:r>
            <w:r/>
          </w:p>
          <w:p>
            <w:pPr>
              <w:pStyle w:val="894"/>
              <w:jc w:val="both"/>
            </w:pPr>
            <w:r>
              <w:t xml:space="preserve">4. Д</w:t>
            </w:r>
            <w:r>
              <w:t xml:space="preserve">ети с ограниченными возможностями здоровья</w:t>
            </w:r>
            <w:r>
              <w:t xml:space="preserve">.</w:t>
            </w:r>
            <w:r/>
          </w:p>
          <w:p>
            <w:pPr>
              <w:pStyle w:val="911"/>
              <w:ind w:left="0"/>
              <w:jc w:val="both"/>
              <w:spacing w:after="0"/>
            </w:pPr>
            <w:r>
              <w:t xml:space="preserve">5. Д</w:t>
            </w:r>
            <w:r>
              <w:t xml:space="preserve">ети с девиантным (общественно опасным) поведением</w:t>
            </w:r>
            <w:r>
              <w:t xml:space="preserve">.</w:t>
            </w:r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894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1 2 3 4 5 6 7 8 9 10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  <w:p>
            <w:pPr>
              <w:pStyle w:val="894"/>
              <w:ind w:left="1080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894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V</w:t>
            </w:r>
            <w:r>
              <w:rPr>
                <w:b/>
              </w:rPr>
              <w:t xml:space="preserve">. </w:t>
            </w:r>
            <w:r>
              <w:rPr>
                <w:b/>
              </w:rPr>
              <w:t xml:space="preserve">Обеспечение высокого качества организации образовательного процесса на основе эффективного использования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учителем различных</w:t>
            </w:r>
            <w:r>
              <w:rPr>
                <w:b/>
              </w:rPr>
              <w:t xml:space="preserve"> образовательных технологий, в том числе </w:t>
            </w:r>
            <w:r>
              <w:rPr>
                <w:b/>
              </w:rPr>
              <w:t xml:space="preserve">дистанционных образовательных </w:t>
            </w:r>
            <w:r>
              <w:rPr>
                <w:b/>
              </w:rPr>
              <w:t xml:space="preserve">технологий</w:t>
            </w:r>
            <w:r>
              <w:rPr>
                <w:b/>
              </w:rPr>
              <w:t xml:space="preserve"> или электронного обучения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4"/>
              <w:ind w:left="285" w:hanging="285"/>
              <w:jc w:val="both"/>
            </w:pPr>
            <w:r>
              <w:t xml:space="preserve">1</w:t>
            </w:r>
            <w:r>
              <w:t xml:space="preserve">.Активное использование проектных и исследовательских технологий в образовательном процессе.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2</w:t>
            </w:r>
            <w:r>
              <w:t xml:space="preserve">.</w:t>
            </w:r>
            <w:r>
              <w:t xml:space="preserve">Обоснованность, уместность и результативность использования современных образовательных технологий, подтвержденная описанием и справкой по проведенному педагогическому эксперименту или диссертаци</w:t>
            </w:r>
            <w:r>
              <w:t xml:space="preserve">онным исследованием.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3</w:t>
            </w:r>
            <w:r>
              <w:t xml:space="preserve">. </w:t>
            </w:r>
            <w:r>
              <w:t xml:space="preserve">Разработка и использование новых цифровых образовательных ресурсов, методов фиксации и оценивания уч</w:t>
            </w:r>
            <w:r>
              <w:t xml:space="preserve">ебных достижений средствами ИКТ.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4</w:t>
            </w:r>
            <w:r>
              <w:t xml:space="preserve">. </w:t>
            </w:r>
            <w:r>
              <w:t xml:space="preserve">Системная интеграция ИКТ в процессе преподавания конкретного предмета, разработка и внедрение соответствующей целевой программы.</w:t>
            </w:r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894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1 2 3 4 5 6 7 8 </w:t>
            </w:r>
            <w:r>
              <w:rPr>
                <w:b/>
                <w:bCs/>
                <w:spacing w:val="80"/>
              </w:rPr>
              <w:t xml:space="preserve">9 10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3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0 1 2 3 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622" w:type="dxa"/>
            <w:vAlign w:val="top"/>
            <w:textDirection w:val="lrTb"/>
            <w:noWrap w:val="false"/>
          </w:tcPr>
          <w:p>
            <w:pPr>
              <w:pStyle w:val="894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VI</w:t>
            </w:r>
            <w:r>
              <w:rPr>
                <w:b/>
              </w:rPr>
              <w:t xml:space="preserve">. Н</w:t>
            </w:r>
            <w:r>
              <w:rPr>
                <w:b/>
              </w:rPr>
              <w:t xml:space="preserve">епрерывност</w:t>
            </w:r>
            <w:r>
              <w:rPr>
                <w:b/>
              </w:rPr>
              <w:t xml:space="preserve">ь</w:t>
            </w:r>
            <w:r>
              <w:rPr>
                <w:b/>
              </w:rPr>
              <w:t xml:space="preserve"> профессионального </w:t>
            </w:r>
            <w:r>
              <w:rPr>
                <w:b/>
              </w:rPr>
              <w:t xml:space="preserve">развития учителя</w:t>
            </w:r>
            <w:r>
              <w:rPr>
                <w:b/>
              </w:rPr>
              <w:t xml:space="preserve">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4"/>
              <w:ind w:left="285" w:hanging="285"/>
              <w:jc w:val="both"/>
            </w:pPr>
            <w:r>
              <w:t xml:space="preserve">1. </w:t>
            </w:r>
            <w:r>
              <w:t xml:space="preserve">Наличие аналитического обоснования выбора темы самообразования и результативность деятельн</w:t>
            </w:r>
            <w:r>
              <w:t xml:space="preserve">ости учителя по самообразованию.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2. </w:t>
            </w:r>
            <w:r>
              <w:t xml:space="preserve">Своевременное </w:t>
            </w:r>
            <w:r>
              <w:t xml:space="preserve"> повышение </w:t>
            </w:r>
            <w:r>
              <w:t xml:space="preserve">к</w:t>
            </w:r>
            <w:r>
              <w:t xml:space="preserve">валификации или профессиональная переподготовка (</w:t>
            </w:r>
            <w:r>
              <w:t xml:space="preserve">с указанием количества часов и наименований программ повышения </w:t>
            </w:r>
            <w:r>
              <w:t xml:space="preserve">квалификации, сроков повышения квалификации)</w:t>
            </w:r>
            <w:r>
              <w:t xml:space="preserve">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3. </w:t>
            </w:r>
            <w:r>
              <w:t xml:space="preserve">Участие в обучающих профессиональных с</w:t>
            </w:r>
            <w:r>
              <w:t xml:space="preserve">еминарах, круглых столах</w:t>
            </w:r>
            <w:r>
              <w:t xml:space="preserve">, тренингах, конференциях</w:t>
            </w:r>
            <w:r>
              <w:t xml:space="preserve"> и т.п.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4. </w:t>
            </w:r>
            <w:r>
              <w:t xml:space="preserve">Участие </w:t>
            </w:r>
            <w:r>
              <w:t xml:space="preserve"> в муниципальных, региональных</w:t>
            </w:r>
            <w:r>
              <w:t xml:space="preserve">, федеральных и междунаро</w:t>
            </w:r>
            <w:r>
              <w:t xml:space="preserve">дных профессиональных конкурсах</w:t>
            </w:r>
            <w:r>
              <w:t xml:space="preserve"> (могут быть указаны высокостатусные конкурсы не только 3 последних лет)</w:t>
            </w:r>
            <w:r>
              <w:t xml:space="preserve">.</w:t>
            </w:r>
            <w:r/>
          </w:p>
          <w:p>
            <w:pPr>
              <w:pStyle w:val="894"/>
              <w:ind w:left="285" w:hanging="285"/>
              <w:jc w:val="both"/>
            </w:pPr>
            <w:r>
              <w:t xml:space="preserve">5. </w:t>
            </w:r>
            <w:r>
              <w:t xml:space="preserve">Обучение в аспирантуре (или докторантуре) в период про</w:t>
            </w:r>
            <w:r>
              <w:t xml:space="preserve">ведения</w:t>
            </w:r>
            <w:r>
              <w:t xml:space="preserve"> </w:t>
            </w:r>
            <w:r>
              <w:t xml:space="preserve">конкурса или наличие ученой степени, звания.</w:t>
            </w:r>
            <w:r/>
          </w:p>
        </w:tc>
        <w:tc>
          <w:tcPr>
            <w:tcW w:w="4104" w:type="dxa"/>
            <w:vAlign w:val="top"/>
            <w:textDirection w:val="lrTb"/>
            <w:noWrap w:val="false"/>
          </w:tcPr>
          <w:p>
            <w:pPr>
              <w:pStyle w:val="894"/>
              <w:rPr>
                <w:b/>
                <w:bCs/>
                <w:spacing w:val="80"/>
              </w:rPr>
            </w:pPr>
            <w:r>
              <w:rPr>
                <w:b/>
                <w:bCs/>
                <w:spacing w:val="80"/>
              </w:rPr>
              <w:t xml:space="preserve">0 </w:t>
            </w:r>
            <w:r>
              <w:rPr>
                <w:b/>
                <w:bCs/>
                <w:spacing w:val="80"/>
              </w:rPr>
              <w:t xml:space="preserve">1 2 3 4 5 6</w:t>
            </w:r>
            <w:r>
              <w:rPr>
                <w:b/>
                <w:bCs/>
                <w:spacing w:val="80"/>
              </w:rPr>
              <w:t xml:space="preserve"> </w:t>
            </w:r>
            <w:r>
              <w:rPr>
                <w:b/>
                <w:bCs/>
                <w:spacing w:val="80"/>
              </w:rPr>
              <w:t xml:space="preserve">7 8 9 10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Cs/>
                <w:spacing w:val="80"/>
              </w:rPr>
            </w:pP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  <w:r>
              <w:rPr>
                <w:bCs/>
                <w:spacing w:val="80"/>
              </w:rPr>
            </w:r>
          </w:p>
          <w:p>
            <w:pPr>
              <w:pStyle w:val="894"/>
              <w:rPr>
                <w:b/>
                <w:bCs/>
                <w:spacing w:val="80"/>
              </w:rPr>
            </w:pPr>
            <w:r>
              <w:rPr>
                <w:bCs/>
                <w:spacing w:val="80"/>
              </w:rPr>
              <w:t xml:space="preserve">0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1</w:t>
            </w:r>
            <w:r>
              <w:rPr>
                <w:bCs/>
                <w:spacing w:val="80"/>
              </w:rPr>
              <w:t xml:space="preserve"> </w:t>
            </w:r>
            <w:r>
              <w:rPr>
                <w:bCs/>
                <w:spacing w:val="80"/>
              </w:rPr>
              <w:t xml:space="preserve">2</w:t>
            </w:r>
            <w:r>
              <w:rPr>
                <w:b/>
                <w:bCs/>
                <w:spacing w:val="80"/>
              </w:rPr>
            </w:r>
            <w:r>
              <w:rPr>
                <w:b/>
                <w:bCs/>
                <w:spacing w:val="8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3" w:hRule="exact"/>
        </w:trPr>
        <w:tc>
          <w:tcPr>
            <w:tcW w:w="11622" w:type="dxa"/>
            <w:vAlign w:val="center"/>
            <w:textDirection w:val="lrTb"/>
            <w:noWrap w:val="false"/>
          </w:tcPr>
          <w:p>
            <w:pPr>
              <w:pStyle w:val="907"/>
              <w:jc w:val="right"/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о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бщий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балл</w:t>
            </w:r>
            <w:r>
              <w:rPr>
                <w:bCs/>
                <w:smallCaps/>
                <w:sz w:val="20"/>
                <w:szCs w:val="20"/>
              </w:rPr>
              <w:t xml:space="preserve"> (максимальный балл -</w:t>
            </w:r>
            <w:r>
              <w:rPr>
                <w:bCs/>
                <w:smallCaps/>
                <w:sz w:val="20"/>
                <w:szCs w:val="20"/>
                <w:lang w:val="en-US"/>
              </w:rPr>
              <w:t xml:space="preserve">60</w:t>
            </w:r>
            <w:r>
              <w:rPr>
                <w:bCs/>
                <w:smallCaps/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04" w:type="dxa"/>
            <w:vAlign w:val="center"/>
            <w:textDirection w:val="lrTb"/>
            <w:noWrap w:val="false"/>
          </w:tcPr>
          <w:p>
            <w:pPr>
              <w:pStyle w:val="894"/>
              <w:spacing w:before="120" w:after="120" w:line="360" w:lineRule="auto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</w:r>
            <w:r>
              <w:rPr>
                <w:bCs/>
                <w:smallCaps/>
                <w:sz w:val="20"/>
                <w:szCs w:val="20"/>
              </w:rPr>
            </w:r>
            <w:r>
              <w:rPr>
                <w:bCs/>
                <w:smallCaps/>
                <w:sz w:val="20"/>
                <w:szCs w:val="20"/>
              </w:rPr>
            </w:r>
          </w:p>
        </w:tc>
      </w:tr>
    </w:tbl>
    <w:p>
      <w:pPr>
        <w:pStyle w:val="89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94"/>
        <w:tabs>
          <w:tab w:val="left" w:pos="11835" w:leader="none"/>
        </w:tabs>
      </w:pPr>
      <w:r>
        <w:t xml:space="preserve">Эксперт: ____________</w:t>
      </w:r>
      <w:r>
        <w:t xml:space="preserve">________</w:t>
      </w:r>
      <w:r>
        <w:t xml:space="preserve">______/______________________/ Дата ______________________________</w:t>
      </w:r>
      <w:r>
        <w:t xml:space="preserve"> 20</w:t>
      </w:r>
      <w:r>
        <w:t xml:space="preserve">2</w:t>
      </w:r>
      <w:r>
        <w:t xml:space="preserve">5 г.</w:t>
      </w:r>
      <w:r/>
    </w:p>
    <w:p>
      <w:pPr>
        <w:pStyle w:val="894"/>
      </w:pPr>
      <w:r/>
      <w:r/>
    </w:p>
    <w:p>
      <w:pPr>
        <w:pStyle w:val="894"/>
        <w:tabs>
          <w:tab w:val="left" w:pos="12420" w:leader="none"/>
        </w:tabs>
      </w:pPr>
      <w:r>
        <w:t xml:space="preserve">Председатель</w:t>
      </w:r>
      <w:r>
        <w:t xml:space="preserve"> </w:t>
      </w:r>
      <w:r>
        <w:t xml:space="preserve">конкурсной комиссии: ____________</w:t>
      </w:r>
      <w:r>
        <w:t xml:space="preserve">_______</w:t>
      </w:r>
      <w:r>
        <w:t xml:space="preserve">_________/_____________________/</w:t>
      </w:r>
      <w:r/>
    </w:p>
    <w:sectPr>
      <w:footnotePr/>
      <w:endnotePr/>
      <w:type w:val="continuous"/>
      <w:pgSz w:w="16838" w:h="11906" w:orient="landscape"/>
      <w:pgMar w:top="709" w:right="709" w:bottom="0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90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3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7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6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90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</w:pPr>
    </w:lvl>
  </w:abstractNum>
  <w:abstractNum w:abstractNumId="1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upperRoman"/>
      <w:pStyle w:val="895"/>
      <w:isLgl w:val="false"/>
      <w:suff w:val="space"/>
      <w:lvlText w:val="Раздел %1."/>
      <w:lvlJc w:val="left"/>
      <w:pPr>
        <w:ind w:left="0" w:firstLine="0"/>
      </w:pPr>
    </w:lvl>
    <w:lvl w:ilvl="1">
      <w:start w:val="1"/>
      <w:numFmt w:val="decimal"/>
      <w:pStyle w:val="896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897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898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899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900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901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902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903"/>
      <w:isLgl w:val="false"/>
      <w:suff w:val="nothing"/>
      <w:lvlText w:val=""/>
      <w:lvlJc w:val="left"/>
      <w:pPr>
        <w:ind w:left="0" w:firstLine="0"/>
      </w:pPr>
    </w:lvl>
  </w:abstractNum>
  <w:abstractNum w:abstractNumId="16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7" w:hanging="360"/>
      </w:pPr>
      <w:rPr>
        <w:rFonts w:eastAsia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9">
    <w:multiLevelType w:val="hybridMultilevel"/>
    <w:lvl w:ilvl="0">
      <w:start w:val="0"/>
      <w:numFmt w:val="decimal"/>
      <w:isLgl w:val="false"/>
      <w:suff w:val="tab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31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27"/>
  </w:num>
  <w:num w:numId="5">
    <w:abstractNumId w:val="23"/>
  </w:num>
  <w:num w:numId="6">
    <w:abstractNumId w:val="11"/>
  </w:num>
  <w:num w:numId="7">
    <w:abstractNumId w:val="1"/>
  </w:num>
  <w:num w:numId="8">
    <w:abstractNumId w:val="17"/>
  </w:num>
  <w:num w:numId="9">
    <w:abstractNumId w:val="18"/>
  </w:num>
  <w:num w:numId="10">
    <w:abstractNumId w:val="12"/>
  </w:num>
  <w:num w:numId="11">
    <w:abstractNumId w:val="19"/>
  </w:num>
  <w:num w:numId="12">
    <w:abstractNumId w:val="26"/>
  </w:num>
  <w:num w:numId="13">
    <w:abstractNumId w:val="7"/>
  </w:num>
  <w:num w:numId="14">
    <w:abstractNumId w:val="10"/>
  </w:num>
  <w:num w:numId="15">
    <w:abstractNumId w:val="8"/>
  </w:num>
  <w:num w:numId="16">
    <w:abstractNumId w:val="2"/>
  </w:num>
  <w:num w:numId="17">
    <w:abstractNumId w:val="30"/>
  </w:num>
  <w:num w:numId="18">
    <w:abstractNumId w:val="9"/>
  </w:num>
  <w:num w:numId="19">
    <w:abstractNumId w:val="4"/>
  </w:num>
  <w:num w:numId="20">
    <w:abstractNumId w:val="25"/>
  </w:num>
  <w:num w:numId="21">
    <w:abstractNumId w:val="0"/>
  </w:num>
  <w:num w:numId="22">
    <w:abstractNumId w:val="21"/>
  </w:num>
  <w:num w:numId="23">
    <w:abstractNumId w:val="14"/>
  </w:num>
  <w:num w:numId="24">
    <w:abstractNumId w:val="16"/>
  </w:num>
  <w:num w:numId="25">
    <w:abstractNumId w:val="6"/>
  </w:num>
  <w:num w:numId="26">
    <w:abstractNumId w:val="28"/>
  </w:num>
  <w:num w:numId="27">
    <w:abstractNumId w:val="13"/>
  </w:num>
  <w:num w:numId="28">
    <w:abstractNumId w:val="29"/>
  </w:num>
  <w:num w:numId="29">
    <w:abstractNumId w:val="3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6">
    <w:name w:val="Heading 1"/>
    <w:basedOn w:val="894"/>
    <w:next w:val="894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7">
    <w:name w:val="Heading 1 Char"/>
    <w:link w:val="716"/>
    <w:uiPriority w:val="9"/>
    <w:rPr>
      <w:rFonts w:ascii="Arial" w:hAnsi="Arial" w:eastAsia="Arial" w:cs="Arial"/>
      <w:sz w:val="40"/>
      <w:szCs w:val="40"/>
    </w:rPr>
  </w:style>
  <w:style w:type="paragraph" w:styleId="718">
    <w:name w:val="Heading 2"/>
    <w:basedOn w:val="894"/>
    <w:next w:val="894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9">
    <w:name w:val="Heading 2 Char"/>
    <w:link w:val="718"/>
    <w:uiPriority w:val="9"/>
    <w:rPr>
      <w:rFonts w:ascii="Arial" w:hAnsi="Arial" w:eastAsia="Arial" w:cs="Arial"/>
      <w:sz w:val="34"/>
    </w:rPr>
  </w:style>
  <w:style w:type="paragraph" w:styleId="720">
    <w:name w:val="Heading 3"/>
    <w:basedOn w:val="894"/>
    <w:next w:val="894"/>
    <w:link w:val="7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1">
    <w:name w:val="Heading 3 Char"/>
    <w:link w:val="720"/>
    <w:uiPriority w:val="9"/>
    <w:rPr>
      <w:rFonts w:ascii="Arial" w:hAnsi="Arial" w:eastAsia="Arial" w:cs="Arial"/>
      <w:sz w:val="30"/>
      <w:szCs w:val="30"/>
    </w:rPr>
  </w:style>
  <w:style w:type="paragraph" w:styleId="722">
    <w:name w:val="Heading 4"/>
    <w:basedOn w:val="894"/>
    <w:next w:val="894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3">
    <w:name w:val="Heading 4 Char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724">
    <w:name w:val="Heading 5"/>
    <w:basedOn w:val="894"/>
    <w:next w:val="894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5">
    <w:name w:val="Heading 5 Char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7">
    <w:name w:val="Heading 6 Char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9">
    <w:name w:val="Heading 7 Char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0">
    <w:name w:val="Heading 8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1">
    <w:name w:val="Heading 8 Char"/>
    <w:link w:val="730"/>
    <w:uiPriority w:val="9"/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>
    <w:name w:val="Heading 9 Char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894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before="0" w:after="0" w:line="240" w:lineRule="auto"/>
    </w:pPr>
  </w:style>
  <w:style w:type="paragraph" w:styleId="736">
    <w:name w:val="Title"/>
    <w:basedOn w:val="894"/>
    <w:next w:val="89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746"/>
    <w:uiPriority w:val="99"/>
  </w:style>
  <w:style w:type="table" w:styleId="75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next w:val="894"/>
    <w:link w:val="894"/>
    <w:qFormat/>
    <w:rPr>
      <w:sz w:val="24"/>
      <w:szCs w:val="24"/>
      <w:lang w:val="ru-RU" w:eastAsia="ru-RU" w:bidi="ar-SA"/>
    </w:rPr>
  </w:style>
  <w:style w:type="paragraph" w:styleId="895">
    <w:name w:val="Заголовок 1"/>
    <w:basedOn w:val="894"/>
    <w:next w:val="894"/>
    <w:link w:val="894"/>
    <w:qFormat/>
    <w:pPr>
      <w:numPr>
        <w:ilvl w:val="0"/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28"/>
      <w:szCs w:val="32"/>
      <w:u w:val="single"/>
    </w:rPr>
  </w:style>
  <w:style w:type="paragraph" w:styleId="896">
    <w:name w:val="Заголовок 2"/>
    <w:basedOn w:val="894"/>
    <w:next w:val="894"/>
    <w:link w:val="894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97">
    <w:name w:val="Заголовок 3"/>
    <w:basedOn w:val="894"/>
    <w:next w:val="894"/>
    <w:link w:val="894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98">
    <w:name w:val="Заголовок 4"/>
    <w:basedOn w:val="894"/>
    <w:next w:val="894"/>
    <w:link w:val="894"/>
    <w:qFormat/>
    <w:pPr>
      <w:numPr>
        <w:ilvl w:val="3"/>
        <w:numId w:val="1"/>
      </w:numPr>
      <w:keepNext/>
      <w:spacing w:before="240" w:after="60"/>
      <w:outlineLvl w:val="3"/>
    </w:pPr>
    <w:rPr>
      <w:b/>
      <w:bCs/>
      <w:sz w:val="28"/>
      <w:szCs w:val="28"/>
    </w:rPr>
  </w:style>
  <w:style w:type="paragraph" w:styleId="899">
    <w:name w:val="Заголовок 5"/>
    <w:basedOn w:val="894"/>
    <w:next w:val="894"/>
    <w:link w:val="894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00">
    <w:name w:val="Заголовок 6"/>
    <w:basedOn w:val="894"/>
    <w:next w:val="894"/>
    <w:link w:val="894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901">
    <w:name w:val="Заголовок 7"/>
    <w:basedOn w:val="894"/>
    <w:next w:val="894"/>
    <w:link w:val="894"/>
    <w:qFormat/>
    <w:pPr>
      <w:numPr>
        <w:ilvl w:val="6"/>
        <w:numId w:val="1"/>
      </w:numPr>
      <w:spacing w:before="240" w:after="60"/>
      <w:outlineLvl w:val="6"/>
    </w:pPr>
  </w:style>
  <w:style w:type="paragraph" w:styleId="902">
    <w:name w:val="Заголовок 8"/>
    <w:basedOn w:val="894"/>
    <w:next w:val="894"/>
    <w:link w:val="894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03">
    <w:name w:val="Заголовок 9"/>
    <w:basedOn w:val="894"/>
    <w:next w:val="894"/>
    <w:link w:val="894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904">
    <w:name w:val="Основной шрифт абзаца"/>
    <w:next w:val="904"/>
    <w:link w:val="894"/>
    <w:semiHidden/>
  </w:style>
  <w:style w:type="table" w:styleId="905">
    <w:name w:val="Обычная таблица"/>
    <w:next w:val="905"/>
    <w:link w:val="894"/>
    <w:semiHidden/>
    <w:tblPr/>
  </w:style>
  <w:style w:type="numbering" w:styleId="906">
    <w:name w:val="Нет списка"/>
    <w:next w:val="906"/>
    <w:link w:val="894"/>
    <w:semiHidden/>
  </w:style>
  <w:style w:type="paragraph" w:styleId="907">
    <w:name w:val="Обычный (веб)"/>
    <w:basedOn w:val="894"/>
    <w:next w:val="907"/>
    <w:link w:val="894"/>
    <w:pPr>
      <w:spacing w:before="100" w:beforeAutospacing="1" w:after="100" w:afterAutospacing="1"/>
    </w:pPr>
  </w:style>
  <w:style w:type="paragraph" w:styleId="908">
    <w:name w:val="Основной текст с отступом 2"/>
    <w:basedOn w:val="894"/>
    <w:next w:val="908"/>
    <w:link w:val="894"/>
    <w:pPr>
      <w:ind w:left="432" w:hanging="360"/>
    </w:pPr>
    <w:rPr>
      <w:b/>
      <w:bCs/>
    </w:rPr>
  </w:style>
  <w:style w:type="paragraph" w:styleId="909">
    <w:name w:val="Текст сноски"/>
    <w:basedOn w:val="894"/>
    <w:next w:val="909"/>
    <w:link w:val="894"/>
    <w:semiHidden/>
    <w:rPr>
      <w:sz w:val="20"/>
      <w:szCs w:val="20"/>
    </w:rPr>
  </w:style>
  <w:style w:type="character" w:styleId="910">
    <w:name w:val="Знак сноски"/>
    <w:next w:val="910"/>
    <w:link w:val="894"/>
    <w:semiHidden/>
    <w:rPr>
      <w:vertAlign w:val="superscript"/>
    </w:rPr>
  </w:style>
  <w:style w:type="paragraph" w:styleId="911">
    <w:name w:val="Основной текст с отступом"/>
    <w:basedOn w:val="894"/>
    <w:next w:val="911"/>
    <w:link w:val="894"/>
    <w:pPr>
      <w:ind w:left="283"/>
      <w:spacing w:after="120"/>
    </w:pPr>
  </w:style>
  <w:style w:type="paragraph" w:styleId="912">
    <w:name w:val="Основной текст 2"/>
    <w:basedOn w:val="894"/>
    <w:next w:val="912"/>
    <w:link w:val="894"/>
    <w:pPr>
      <w:spacing w:after="120" w:line="480" w:lineRule="auto"/>
    </w:pPr>
  </w:style>
  <w:style w:type="paragraph" w:styleId="913">
    <w:name w:val="Текст выноски"/>
    <w:basedOn w:val="894"/>
    <w:next w:val="913"/>
    <w:link w:val="914"/>
    <w:rPr>
      <w:rFonts w:ascii="Tahoma" w:hAnsi="Tahoma" w:cs="Tahoma"/>
      <w:sz w:val="16"/>
      <w:szCs w:val="16"/>
    </w:rPr>
  </w:style>
  <w:style w:type="character" w:styleId="914">
    <w:name w:val="Текст выноски Знак"/>
    <w:next w:val="914"/>
    <w:link w:val="913"/>
    <w:rPr>
      <w:rFonts w:ascii="Tahoma" w:hAnsi="Tahoma" w:cs="Tahoma"/>
      <w:sz w:val="16"/>
      <w:szCs w:val="16"/>
    </w:rPr>
  </w:style>
  <w:style w:type="character" w:styleId="915" w:default="1">
    <w:name w:val="Default Paragraph Font"/>
    <w:uiPriority w:val="1"/>
    <w:semiHidden/>
    <w:unhideWhenUsed/>
  </w:style>
  <w:style w:type="numbering" w:styleId="916" w:default="1">
    <w:name w:val="No List"/>
    <w:uiPriority w:val="99"/>
    <w:semiHidden/>
    <w:unhideWhenUsed/>
  </w:style>
  <w:style w:type="table" w:styleId="9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НИПКиПРО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ОБЩЕОБРАЗОВАТЕЛЬНЫХ УЧРЕЖДЕНИЙ НОВОСИБИРСКОЙ ОБЛАСТИ,</dc:title>
  <dc:creator>Степанов</dc:creator>
  <cp:revision>7</cp:revision>
  <dcterms:created xsi:type="dcterms:W3CDTF">2019-05-14T04:07:00Z</dcterms:created>
  <dcterms:modified xsi:type="dcterms:W3CDTF">2025-04-15T03:12:01Z</dcterms:modified>
  <cp:version>1048576</cp:version>
</cp:coreProperties>
</file>