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1"/>
        <w:ind w:firstLine="709"/>
        <w:jc w:val="center"/>
        <w:spacing w:before="0" w:after="0" w:line="240" w:lineRule="auto"/>
        <w:rPr>
          <w:rFonts w:ascii="Noto Serif" w:hAnsi="Noto Serif"/>
          <w:sz w:val="26"/>
          <w:szCs w:val="26"/>
        </w:rPr>
      </w:pPr>
      <w:r>
        <w:rPr>
          <w:rFonts w:ascii="Noto Serif" w:hAnsi="Noto Serif" w:cs="Times New Roman"/>
          <w:sz w:val="26"/>
          <w:szCs w:val="26"/>
        </w:rPr>
        <w:t xml:space="preserve">Конкурсное испытание </w:t>
      </w:r>
      <w:r>
        <w:rPr>
          <w:rFonts w:ascii="Noto Serif" w:hAnsi="Noto Serif" w:cs="Times New Roman"/>
          <w:b/>
          <w:sz w:val="26"/>
          <w:szCs w:val="26"/>
        </w:rPr>
        <w:t xml:space="preserve">«Мастер-класс»</w:t>
      </w:r>
      <w:r>
        <w:rPr>
          <w:rFonts w:ascii="Noto Serif" w:hAnsi="Noto Serif"/>
          <w:sz w:val="26"/>
          <w:szCs w:val="26"/>
        </w:rPr>
      </w:r>
      <w:r>
        <w:rPr>
          <w:rFonts w:ascii="Noto Serif" w:hAnsi="Noto Serif"/>
          <w:sz w:val="26"/>
          <w:szCs w:val="26"/>
        </w:rPr>
      </w:r>
    </w:p>
    <w:p>
      <w:pPr>
        <w:pStyle w:val="781"/>
        <w:jc w:val="center"/>
        <w:spacing w:before="0" w:after="0"/>
        <w:rPr>
          <w:rFonts w:ascii="Noto Serif" w:hAnsi="Noto Serif"/>
          <w:sz w:val="24"/>
          <w:szCs w:val="24"/>
        </w:rPr>
      </w:pPr>
      <w:r>
        <w:rPr>
          <w:rFonts w:ascii="Noto Serif" w:hAnsi="Noto Serif" w:cs="Times New Roman"/>
          <w:sz w:val="24"/>
          <w:szCs w:val="24"/>
        </w:rPr>
        <w:t xml:space="preserve">Экспертный лист</w:t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p>
      <w:pPr>
        <w:pStyle w:val="781"/>
        <w:jc w:val="center"/>
        <w:spacing w:before="0" w:after="0"/>
        <w:rPr>
          <w:rFonts w:ascii="Noto Serif" w:hAnsi="Noto Serif"/>
          <w:sz w:val="24"/>
          <w:szCs w:val="24"/>
        </w:rPr>
      </w:pPr>
      <w:r>
        <w:rPr>
          <w:rFonts w:ascii="Noto Serif" w:hAnsi="Noto Serif" w:cs="Times New Roman"/>
          <w:sz w:val="24"/>
          <w:szCs w:val="24"/>
        </w:rPr>
        <w:t xml:space="preserve">Варианты оценки по показателю имеют следующее выражение в баллах:</w:t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p>
      <w:pPr>
        <w:pStyle w:val="781"/>
        <w:jc w:val="center"/>
        <w:spacing w:before="0" w:after="0"/>
        <w:rPr>
          <w:rFonts w:ascii="Noto Serif" w:hAnsi="Noto Serif"/>
          <w:sz w:val="24"/>
          <w:szCs w:val="24"/>
        </w:rPr>
      </w:pPr>
      <w:r>
        <w:rPr>
          <w:rFonts w:ascii="Noto Serif" w:hAnsi="Noto Serif" w:cs="Times New Roman"/>
          <w:sz w:val="24"/>
          <w:szCs w:val="24"/>
        </w:rPr>
        <w:t xml:space="preserve">2 балла - «показатель проявлен в полной мере»; </w:t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p>
      <w:pPr>
        <w:pStyle w:val="781"/>
        <w:jc w:val="center"/>
        <w:spacing w:before="0" w:after="0"/>
        <w:rPr>
          <w:rFonts w:ascii="Noto Serif" w:hAnsi="Noto Serif"/>
          <w:sz w:val="24"/>
          <w:szCs w:val="24"/>
        </w:rPr>
      </w:pPr>
      <w:r>
        <w:rPr>
          <w:rFonts w:ascii="Noto Serif" w:hAnsi="Noto Serif" w:cs="Times New Roman"/>
          <w:sz w:val="24"/>
          <w:szCs w:val="24"/>
        </w:rPr>
        <w:t xml:space="preserve">1 балл - «показатель проявлен частично»;</w:t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p>
      <w:pPr>
        <w:pStyle w:val="781"/>
        <w:jc w:val="center"/>
        <w:spacing w:before="0" w:after="0"/>
        <w:rPr>
          <w:rFonts w:ascii="Noto Serif" w:hAnsi="Noto Serif"/>
          <w:sz w:val="24"/>
          <w:szCs w:val="24"/>
        </w:rPr>
      </w:pPr>
      <w:r>
        <w:rPr>
          <w:rFonts w:ascii="Noto Serif" w:hAnsi="Noto Serif" w:cs="Times New Roman"/>
          <w:sz w:val="24"/>
          <w:szCs w:val="24"/>
        </w:rPr>
        <w:t xml:space="preserve">0 баллов - «показатель не проявлен».</w:t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tbl>
      <w:tblPr>
        <w:tblW w:w="10887" w:type="dxa"/>
        <w:tblInd w:w="-4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9300"/>
        <w:gridCol w:w="912"/>
      </w:tblGrid>
      <w:tr>
        <w:tblPrEx/>
        <w:trPr>
          <w:cantSplit/>
          <w:trHeight w:val="717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</w:rPr>
            </w:pPr>
            <w:r>
              <w:rPr>
                <w:rFonts w:ascii="Noto Serif" w:hAnsi="Noto Serif" w:eastAsia="Calibri" w:cs="Times New Roman"/>
                <w:sz w:val="24"/>
                <w:szCs w:val="24"/>
                <w:lang w:val="ru-RU" w:eastAsia="en-US" w:bidi="ar-SA"/>
              </w:rPr>
              <w:t xml:space="preserve">№</w:t>
            </w:r>
            <w:r>
              <w:rPr>
                <w:rFonts w:ascii="Noto Serif" w:hAnsi="Noto Serif"/>
              </w:rPr>
            </w:r>
            <w:r>
              <w:rPr>
                <w:rFonts w:ascii="Noto Serif" w:hAnsi="Noto Serif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Критерии</w:t>
            </w:r>
            <w:r>
              <w:rPr>
                <w:rFonts w:ascii="Noto Serif" w:hAnsi="Noto Serif" w:eastAsia="Calibri" w:cs="Times New Roman"/>
                <w:sz w:val="24"/>
                <w:szCs w:val="24"/>
                <w:lang w:val="ru-RU" w:eastAsia="en-US" w:bidi="ar-SA"/>
              </w:rPr>
              <w:t xml:space="preserve">/показатели</w:t>
            </w:r>
            <w:r>
              <w:rPr>
                <w:rFonts w:ascii="Noto Serif" w:hAnsi="Noto Serif"/>
              </w:rPr>
            </w:r>
            <w:r>
              <w:rPr>
                <w:rFonts w:ascii="Noto Serif" w:hAnsi="Noto Serif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</w:rPr>
            </w:pPr>
            <w:r>
              <w:rPr>
                <w:rFonts w:ascii="Noto Serif" w:hAnsi="Noto Serif"/>
              </w:rPr>
            </w:r>
            <w:r>
              <w:rPr>
                <w:rFonts w:ascii="Noto Serif" w:hAnsi="Noto Serif"/>
              </w:rPr>
            </w:r>
            <w:r>
              <w:rPr>
                <w:rFonts w:ascii="Noto Serif" w:hAnsi="Noto Serif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1. Методическая обоснованность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>
          <w:trHeight w:val="610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1.1.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Представляет оригинальную педагогическую практику по актуальным направлениям развития системы образования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>
          <w:trHeight w:val="343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1.2.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Аргументирует значимость темы для формирования педагогической культуры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>
          <w:trHeight w:val="396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1.3.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Предъявляет методически проработанный педагогический опыт для распространения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>
          <w:trHeight w:val="622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1.4.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Применяет авторские средства обучения и воспитания (материалы и оборудование), в том числе цифровые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>
          <w:trHeight w:val="396"/>
        </w:trPr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1.5.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Применяет методы и приемы активного обучения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Arial"/>
                <w:b/>
                <w:bCs/>
                <w:sz w:val="26"/>
                <w:szCs w:val="26"/>
                <w:lang w:val="ru-RU" w:eastAsia="en-US" w:bidi="ar-SA"/>
              </w:rPr>
              <w:t xml:space="preserve">2. </w:t>
            </w: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Практическая значимость и применимость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2.1.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Демонстрирует верифицированное на практике решение нестандартной профессиональной задачи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2.2.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Предлагает варианты использования представленного</w:t>
              <w:tab/>
              <w:t xml:space="preserve">опыта</w:t>
              <w:tab/>
              <w:t xml:space="preserve">в профессиональной деятельности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2.3.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Обосновывает новизну методического решения профессиональной задачи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2.4.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Обосновывает соответствие представленного решения приоритетным направлениям государственной политики в сфере образования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2.5.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Выделяет и обосновывает эффекты применения</w:t>
              <w:tab/>
              <w:t xml:space="preserve">своего педагогического опыта для системы образования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3. А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ктуальность</w:t>
            </w:r>
            <w:r>
              <w:rPr>
                <w:rFonts w:ascii="Noto Serif" w:hAnsi="Noto Serif" w:eastAsia="Times New Roman" w:cs="Times New Roman"/>
                <w:b/>
                <w:bCs/>
                <w:spacing w:val="-1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и</w:t>
            </w:r>
            <w:r>
              <w:rPr>
                <w:rFonts w:ascii="Noto Serif" w:hAnsi="Noto Serif" w:eastAsia="Times New Roman" w:cs="Times New Roman"/>
                <w:b/>
                <w:bCs/>
                <w:spacing w:val="-6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глубина</w:t>
            </w:r>
            <w:r>
              <w:rPr>
                <w:rFonts w:ascii="Noto Serif" w:hAnsi="Noto Serif" w:eastAsia="Times New Roman" w:cs="Times New Roman"/>
                <w:b/>
                <w:bCs/>
                <w:spacing w:val="-5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предметного</w:t>
            </w:r>
            <w:r>
              <w:rPr>
                <w:rFonts w:ascii="Noto Serif" w:hAnsi="Noto Serif" w:eastAsia="Times New Roman" w:cs="Times New Roman"/>
                <w:b/>
                <w:bCs/>
                <w:spacing w:val="-5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pacing w:val="-2"/>
                <w:sz w:val="26"/>
                <w:szCs w:val="26"/>
                <w:lang w:val="ru-RU" w:eastAsia="en-US" w:bidi="ar-SA"/>
              </w:rPr>
              <w:t xml:space="preserve">содержания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3.1.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Предметное содержание соответствует ФГОС, принципам обучения и воспитания и передовым достижениям российской науки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3.2.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Предметное содержание проработано методически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3.3.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Предметное содержание направлено на формирование целостной картины мира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3.4.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Предметное содержание адаптировано для обогащения социального опыта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3.5.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Предметное содержание ориентировано на формирование эмоционально-ценностного отношения к миру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4. Э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ффективность</w:t>
            </w:r>
            <w:r>
              <w:rPr>
                <w:rFonts w:ascii="Noto Serif" w:hAnsi="Noto Serif" w:eastAsia="Times New Roman" w:cs="Times New Roman"/>
                <w:b/>
                <w:bCs/>
                <w:spacing w:val="-12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форм</w:t>
            </w:r>
            <w:r>
              <w:rPr>
                <w:rFonts w:ascii="Noto Serif" w:hAnsi="Noto Serif" w:eastAsia="Times New Roman" w:cs="Times New Roman"/>
                <w:b/>
                <w:bCs/>
                <w:spacing w:val="-9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педагогического</w:t>
            </w:r>
            <w:r>
              <w:rPr>
                <w:rFonts w:ascii="Noto Serif" w:hAnsi="Noto Serif" w:eastAsia="Times New Roman" w:cs="Times New Roman"/>
                <w:b/>
                <w:bCs/>
                <w:spacing w:val="-1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pacing w:val="-2"/>
                <w:sz w:val="26"/>
                <w:szCs w:val="26"/>
                <w:lang w:val="ru-RU" w:eastAsia="en-US" w:bidi="ar-SA"/>
              </w:rPr>
              <w:t xml:space="preserve">взаимодействия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4.1.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Применяет различные формы педагогического взаимодействия в соответствии с целью мастер-класса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4.2.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Обеспечивает сотрудничество и диалог участников мастер-класса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4.3.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Обеспечивает творческую деятельность участников мастер-класса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4.4.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Целостно использует предметно-пространственную среду взаимодействия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4.5.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Гибко адаптируется в новых межличностных отношениях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5. И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нформационная,</w:t>
            </w:r>
            <w:r>
              <w:rPr>
                <w:rFonts w:ascii="Noto Serif" w:hAnsi="Noto Serif" w:eastAsia="Times New Roman" w:cs="Times New Roman"/>
                <w:b/>
                <w:bCs/>
                <w:spacing w:val="-11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коммуникативная</w:t>
            </w:r>
            <w:r>
              <w:rPr>
                <w:rFonts w:ascii="Noto Serif" w:hAnsi="Noto Serif" w:eastAsia="Times New Roman" w:cs="Times New Roman"/>
                <w:b/>
                <w:bCs/>
                <w:spacing w:val="-9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культура</w:t>
            </w:r>
            <w:r>
              <w:rPr>
                <w:rFonts w:ascii="Noto Serif" w:hAnsi="Noto Serif" w:eastAsia="Times New Roman" w:cs="Times New Roman"/>
                <w:b/>
                <w:bCs/>
                <w:spacing w:val="-5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и</w:t>
            </w:r>
            <w:r>
              <w:rPr>
                <w:rFonts w:ascii="Noto Serif" w:hAnsi="Noto Serif" w:eastAsia="Times New Roman" w:cs="Times New Roman"/>
                <w:b/>
                <w:bCs/>
                <w:spacing w:val="-9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культура</w:t>
            </w:r>
            <w:r>
              <w:rPr>
                <w:rFonts w:ascii="Noto Serif" w:hAnsi="Noto Serif" w:eastAsia="Times New Roman" w:cs="Times New Roman"/>
                <w:b/>
                <w:bCs/>
                <w:spacing w:val="-7"/>
                <w:sz w:val="26"/>
                <w:szCs w:val="26"/>
                <w:lang w:val="ru-RU" w:eastAsia="en-US" w:bidi="ar-SA"/>
              </w:rPr>
              <w:t xml:space="preserve"> самопрезентации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5.1.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Применяет информационное обеспечение деятельности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5.2.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Применяет широкий репертуар способов коммуникации между участниками мастер-класса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5.3.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Использует вербальные и невербальные средства коммуникации с учетом специфики и интересов аудитории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5.4.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5.5.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Представляет собственные личностно-профессиональные качества с учетом условий ситуации коммуникации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9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 w:eastAsia="Calibri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6. Р</w:t>
            </w:r>
            <w:r>
              <w:rPr>
                <w:rFonts w:ascii="Noto Serif" w:hAnsi="Noto Serif" w:eastAsia="Times New Roman" w:cs="Times New Roman"/>
                <w:b/>
                <w:bCs/>
                <w:sz w:val="26"/>
                <w:szCs w:val="26"/>
                <w:lang w:val="ru-RU" w:eastAsia="en-US" w:bidi="ar-SA"/>
              </w:rPr>
              <w:t xml:space="preserve">ефлексивная</w:t>
            </w:r>
            <w:r>
              <w:rPr>
                <w:rFonts w:ascii="Noto Serif" w:hAnsi="Noto Serif" w:eastAsia="Times New Roman" w:cs="Times New Roman"/>
                <w:b/>
                <w:bCs/>
                <w:spacing w:val="-7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ascii="Noto Serif" w:hAnsi="Noto Serif" w:eastAsia="Times New Roman" w:cs="Times New Roman"/>
                <w:b/>
                <w:bCs/>
                <w:spacing w:val="-2"/>
                <w:sz w:val="26"/>
                <w:szCs w:val="26"/>
                <w:lang w:val="ru-RU" w:eastAsia="en-US" w:bidi="ar-SA"/>
              </w:rPr>
              <w:t xml:space="preserve">культура</w:t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6"/>
                <w:szCs w:val="26"/>
              </w:rPr>
            </w:pP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  <w:r>
              <w:rPr>
                <w:rFonts w:ascii="Noto Serif" w:hAnsi="Noto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6.1.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Корректирует собственные действия и поведение на основе обратной связи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6.2.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Обеспечивает обратную связь участникам занятия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6.3.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Осмысливает неординарные практические задачи и ход их решения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6.4.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 </w:t>
            </w:r>
            <w:r>
              <w:rPr>
                <w:rFonts w:ascii="Noto Serif" w:hAnsi="Noto Serif" w:eastAsia="Calibri" w:cs="Arial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Оценивает степень реализации цели занятия и достижения планируемых результатов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781"/>
              <w:jc w:val="center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lang w:val="ru-RU" w:eastAsia="en-US" w:bidi="ar-SA"/>
              </w:rPr>
              <w:t xml:space="preserve">6.5.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300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eastAsia="Times New Roman" w:cs="Times New Roman"/>
                <w:sz w:val="20"/>
                <w:szCs w:val="20"/>
                <w:shd w:val="clear" w:color="auto" w:fill="auto"/>
                <w:lang w:val="ru-RU" w:eastAsia="en-US" w:bidi="ar-SA"/>
                <w14:ligatures w14:val="none"/>
              </w:rPr>
              <w:t xml:space="preserve">Анализирует эффективность педагогического взаимодействия на занятии</w:t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pStyle w:val="781"/>
              <w:jc w:val="left"/>
              <w:spacing w:before="0" w:after="0" w:line="240" w:lineRule="auto"/>
              <w:widowControl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</w:tbl>
    <w:p>
      <w:pPr>
        <w:pStyle w:val="781"/>
        <w:jc w:val="both"/>
        <w:rPr>
          <w:rFonts w:ascii="Noto Serif" w:hAnsi="Noto Serif"/>
          <w:sz w:val="24"/>
          <w:szCs w:val="24"/>
        </w:rPr>
      </w:pP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  <w:r>
        <w:rPr>
          <w:rFonts w:ascii="Noto Serif" w:hAnsi="Noto Serif"/>
          <w:sz w:val="24"/>
          <w:szCs w:val="24"/>
        </w:rPr>
      </w:r>
    </w:p>
    <w:p>
      <w:pPr>
        <w:pStyle w:val="781"/>
        <w:jc w:val="both"/>
        <w:spacing w:before="0" w:after="160"/>
        <w:rPr>
          <w:rFonts w:ascii="Noto Serif" w:hAnsi="Noto Serif"/>
        </w:rPr>
      </w:pPr>
      <w:r>
        <w:rPr>
          <w:rFonts w:ascii="Noto Serif" w:hAnsi="Noto Serif" w:eastAsia="Times New Roman" w:cs="Times New Roman"/>
          <w:sz w:val="24"/>
          <w:szCs w:val="24"/>
        </w:rPr>
        <w:t xml:space="preserve">Эксперт ___________/______________________/  </w:t>
        <w:tab/>
        <w:tab/>
        <w:t xml:space="preserve">23.04.2025</w:t>
      </w:r>
      <w:r>
        <w:rPr>
          <w:rFonts w:ascii="Noto Serif" w:hAnsi="Noto Serif"/>
        </w:rPr>
      </w:r>
      <w:r>
        <w:rPr>
          <w:rFonts w:ascii="Noto Serif" w:hAnsi="Noto Serif"/>
        </w:rPr>
      </w:r>
    </w:p>
    <w:sectPr>
      <w:footnotePr/>
      <w:endnotePr/>
      <w:type w:val="nextPage"/>
      <w:pgSz w:w="11906" w:h="16838" w:orient="portrait"/>
      <w:pgMar w:top="1276" w:right="851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erif">
    <w:panose1 w:val="020B0502040504020204"/>
  </w:font>
  <w:font w:name="WenQuanYi Zen Hei Sharp">
    <w:panose1 w:val="02000603000000000000"/>
  </w:font>
  <w:font w:name="Unifont">
    <w:panose1 w:val="02000603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table" w:styleId="6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1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  <w14:ligatures w14:val="none"/>
    </w:rPr>
  </w:style>
  <w:style w:type="paragraph" w:styleId="782">
    <w:name w:val="Heading 1"/>
    <w:basedOn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3">
    <w:name w:val="Heading 2"/>
    <w:basedOn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4">
    <w:name w:val="Heading 3"/>
    <w:basedOn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5">
    <w:name w:val="Heading 4"/>
    <w:basedOn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1 Char"/>
    <w:basedOn w:val="814"/>
    <w:uiPriority w:val="9"/>
    <w:qFormat/>
    <w:rPr>
      <w:rFonts w:ascii="Arial" w:hAnsi="Arial" w:eastAsia="Arial" w:cs="Arial"/>
      <w:sz w:val="40"/>
      <w:szCs w:val="40"/>
    </w:rPr>
  </w:style>
  <w:style w:type="character" w:styleId="792">
    <w:name w:val="Heading 2 Char"/>
    <w:basedOn w:val="814"/>
    <w:uiPriority w:val="9"/>
    <w:qFormat/>
    <w:rPr>
      <w:rFonts w:ascii="Arial" w:hAnsi="Arial" w:eastAsia="Arial" w:cs="Arial"/>
      <w:sz w:val="34"/>
    </w:rPr>
  </w:style>
  <w:style w:type="character" w:styleId="793">
    <w:name w:val="Heading 3 Char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794">
    <w:name w:val="Heading 4 Char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0">
    <w:name w:val="Title Char"/>
    <w:basedOn w:val="814"/>
    <w:uiPriority w:val="10"/>
    <w:qFormat/>
    <w:rPr>
      <w:sz w:val="48"/>
      <w:szCs w:val="48"/>
    </w:rPr>
  </w:style>
  <w:style w:type="character" w:styleId="801">
    <w:name w:val="Subtitle Char"/>
    <w:basedOn w:val="814"/>
    <w:uiPriority w:val="11"/>
    <w:qFormat/>
    <w:rPr>
      <w:sz w:val="24"/>
      <w:szCs w:val="24"/>
    </w:rPr>
  </w:style>
  <w:style w:type="character" w:styleId="802">
    <w:name w:val="Quote Char"/>
    <w:uiPriority w:val="29"/>
    <w:qFormat/>
    <w:rPr>
      <w:i/>
    </w:rPr>
  </w:style>
  <w:style w:type="character" w:styleId="803">
    <w:name w:val="Intense Quote Char"/>
    <w:uiPriority w:val="30"/>
    <w:qFormat/>
    <w:rPr>
      <w:i/>
    </w:rPr>
  </w:style>
  <w:style w:type="character" w:styleId="804">
    <w:name w:val="Header Char"/>
    <w:basedOn w:val="814"/>
    <w:uiPriority w:val="99"/>
    <w:qFormat/>
  </w:style>
  <w:style w:type="character" w:styleId="805">
    <w:name w:val="Footer Char"/>
    <w:basedOn w:val="814"/>
    <w:uiPriority w:val="99"/>
    <w:qFormat/>
  </w:style>
  <w:style w:type="character" w:styleId="806">
    <w:name w:val="Caption Char"/>
    <w:uiPriority w:val="99"/>
    <w:qFormat/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Символ сноски"/>
    <w:uiPriority w:val="99"/>
    <w:unhideWhenUsed/>
    <w:qFormat/>
    <w:rPr>
      <w:vertAlign w:val="superscript"/>
    </w:rPr>
  </w:style>
  <w:style w:type="character" w:styleId="810">
    <w:name w:val="footnote reference"/>
    <w:rPr>
      <w:vertAlign w:val="superscript"/>
    </w:rPr>
  </w:style>
  <w:style w:type="character" w:styleId="811">
    <w:name w:val="Endnote Text Char"/>
    <w:uiPriority w:val="99"/>
    <w:qFormat/>
    <w:rPr>
      <w:sz w:val="20"/>
    </w:rPr>
  </w:style>
  <w:style w:type="character" w:styleId="8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3">
    <w:name w:val="endnote reference"/>
    <w:rPr>
      <w:vertAlign w:val="superscript"/>
    </w:rPr>
  </w:style>
  <w:style w:type="character" w:styleId="814" w:default="1">
    <w:name w:val="Default Paragraph Font"/>
    <w:uiPriority w:val="1"/>
    <w:semiHidden/>
    <w:unhideWhenUsed/>
    <w:qFormat/>
  </w:style>
  <w:style w:type="paragraph" w:styleId="815">
    <w:name w:val="Заголовок"/>
    <w:basedOn w:val="781"/>
    <w:next w:val="816"/>
    <w:qFormat/>
    <w:pPr>
      <w:keepNext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816">
    <w:name w:val="Body Text"/>
    <w:basedOn w:val="781"/>
    <w:pPr>
      <w:spacing w:before="0" w:after="140" w:line="276" w:lineRule="auto"/>
    </w:pPr>
  </w:style>
  <w:style w:type="paragraph" w:styleId="817">
    <w:name w:val="List"/>
    <w:basedOn w:val="816"/>
    <w:rPr>
      <w:rFonts w:cs="Unifont"/>
    </w:rPr>
  </w:style>
  <w:style w:type="paragraph" w:styleId="818">
    <w:name w:val="Caption"/>
    <w:basedOn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9">
    <w:name w:val="Указатель"/>
    <w:basedOn w:val="781"/>
    <w:qFormat/>
    <w:pPr>
      <w:suppressLineNumbers/>
    </w:pPr>
    <w:rPr>
      <w:rFonts w:cs="Unifont"/>
    </w:rPr>
  </w:style>
  <w:style w:type="paragraph" w:styleId="82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821">
    <w:name w:val="Title"/>
    <w:basedOn w:val="7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2">
    <w:name w:val="Subtitle"/>
    <w:basedOn w:val="781"/>
    <w:uiPriority w:val="11"/>
    <w:qFormat/>
    <w:pPr>
      <w:spacing w:before="200" w:after="200"/>
    </w:pPr>
    <w:rPr>
      <w:sz w:val="24"/>
      <w:szCs w:val="24"/>
    </w:rPr>
  </w:style>
  <w:style w:type="paragraph" w:styleId="823">
    <w:name w:val="Quote"/>
    <w:basedOn w:val="781"/>
    <w:uiPriority w:val="29"/>
    <w:qFormat/>
    <w:pPr>
      <w:ind w:left="720" w:right="720"/>
    </w:pPr>
    <w:rPr>
      <w:i/>
    </w:rPr>
  </w:style>
  <w:style w:type="paragraph" w:styleId="824">
    <w:name w:val="Intense Quote"/>
    <w:basedOn w:val="781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5">
    <w:name w:val="Header and Footer"/>
    <w:basedOn w:val="781"/>
    <w:qFormat/>
  </w:style>
  <w:style w:type="paragraph" w:styleId="826">
    <w:name w:val="Header"/>
    <w:basedOn w:val="7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7">
    <w:name w:val="Footer"/>
    <w:basedOn w:val="7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footnote text"/>
    <w:basedOn w:val="7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9">
    <w:name w:val="endnote text"/>
    <w:basedOn w:val="7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0">
    <w:name w:val="toc 1"/>
    <w:basedOn w:val="781"/>
    <w:uiPriority w:val="39"/>
    <w:unhideWhenUsed/>
    <w:pPr>
      <w:ind w:left="0" w:right="0" w:firstLine="0"/>
      <w:spacing w:before="0" w:after="57"/>
    </w:pPr>
  </w:style>
  <w:style w:type="paragraph" w:styleId="831">
    <w:name w:val="toc 2"/>
    <w:basedOn w:val="781"/>
    <w:uiPriority w:val="39"/>
    <w:unhideWhenUsed/>
    <w:pPr>
      <w:ind w:left="283" w:right="0" w:firstLine="0"/>
      <w:spacing w:before="0" w:after="57"/>
    </w:pPr>
  </w:style>
  <w:style w:type="paragraph" w:styleId="832">
    <w:name w:val="toc 3"/>
    <w:basedOn w:val="781"/>
    <w:uiPriority w:val="39"/>
    <w:unhideWhenUsed/>
    <w:pPr>
      <w:ind w:left="567" w:right="0" w:firstLine="0"/>
      <w:spacing w:before="0" w:after="57"/>
    </w:pPr>
  </w:style>
  <w:style w:type="paragraph" w:styleId="833">
    <w:name w:val="toc 4"/>
    <w:basedOn w:val="781"/>
    <w:uiPriority w:val="39"/>
    <w:unhideWhenUsed/>
    <w:pPr>
      <w:ind w:left="850" w:right="0" w:firstLine="0"/>
      <w:spacing w:before="0" w:after="57"/>
    </w:pPr>
  </w:style>
  <w:style w:type="paragraph" w:styleId="834">
    <w:name w:val="toc 5"/>
    <w:basedOn w:val="781"/>
    <w:uiPriority w:val="39"/>
    <w:unhideWhenUsed/>
    <w:pPr>
      <w:ind w:left="1134" w:right="0" w:firstLine="0"/>
      <w:spacing w:before="0" w:after="57"/>
    </w:pPr>
  </w:style>
  <w:style w:type="paragraph" w:styleId="835">
    <w:name w:val="toc 6"/>
    <w:basedOn w:val="781"/>
    <w:uiPriority w:val="39"/>
    <w:unhideWhenUsed/>
    <w:pPr>
      <w:ind w:left="1417" w:right="0" w:firstLine="0"/>
      <w:spacing w:before="0" w:after="57"/>
    </w:pPr>
  </w:style>
  <w:style w:type="paragraph" w:styleId="836">
    <w:name w:val="toc 7"/>
    <w:basedOn w:val="781"/>
    <w:uiPriority w:val="39"/>
    <w:unhideWhenUsed/>
    <w:pPr>
      <w:ind w:left="1701" w:right="0" w:firstLine="0"/>
      <w:spacing w:before="0" w:after="57"/>
    </w:pPr>
  </w:style>
  <w:style w:type="paragraph" w:styleId="837">
    <w:name w:val="toc 8"/>
    <w:basedOn w:val="781"/>
    <w:uiPriority w:val="39"/>
    <w:unhideWhenUsed/>
    <w:pPr>
      <w:ind w:left="1984" w:right="0" w:firstLine="0"/>
      <w:spacing w:before="0" w:after="57"/>
    </w:pPr>
  </w:style>
  <w:style w:type="paragraph" w:styleId="838">
    <w:name w:val="toc 9"/>
    <w:basedOn w:val="781"/>
    <w:uiPriority w:val="39"/>
    <w:unhideWhenUsed/>
    <w:pPr>
      <w:ind w:left="2268" w:right="0" w:firstLine="0"/>
      <w:spacing w:before="0" w:after="57"/>
    </w:pPr>
  </w:style>
  <w:style w:type="paragraph" w:styleId="839">
    <w:name w:val="index heading"/>
    <w:basedOn w:val="815"/>
  </w:style>
  <w:style w:type="paragraph" w:styleId="840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  <w14:ligatures w14:val="standardContextual"/>
    </w:rPr>
  </w:style>
  <w:style w:type="paragraph" w:styleId="841">
    <w:name w:val="table of figures"/>
    <w:basedOn w:val="781"/>
    <w:uiPriority w:val="99"/>
    <w:unhideWhenUsed/>
    <w:pPr>
      <w:spacing w:before="0" w:after="0" w:afterAutospacing="0"/>
    </w:pPr>
  </w:style>
  <w:style w:type="paragraph" w:styleId="842">
    <w:name w:val="List Paragraph"/>
    <w:basedOn w:val="781"/>
    <w:uiPriority w:val="34"/>
    <w:qFormat/>
    <w:pPr>
      <w:contextualSpacing/>
      <w:ind w:left="720"/>
      <w:spacing w:before="0" w:after="160"/>
    </w:pPr>
  </w:style>
  <w:style w:type="numbering" w:styleId="843" w:default="1">
    <w:name w:val="Без списка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1CB7-A1E6-48F1-ACA6-81CF3021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dc:description/>
  <dc:language>ru-RU</dc:language>
  <cp:revision>31</cp:revision>
  <dcterms:created xsi:type="dcterms:W3CDTF">2023-04-11T09:19:00Z</dcterms:created>
  <dcterms:modified xsi:type="dcterms:W3CDTF">2025-03-28T05:12:52Z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