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59"/>
        <w:ind w:left="5387"/>
        <w:jc w:val="center"/>
        <w:tabs>
          <w:tab w:val="left" w:pos="567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59"/>
        <w:ind w:left="5387"/>
        <w:jc w:val="center"/>
        <w:rPr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59"/>
        <w:jc w:val="righ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95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ГОСУДАРСТВЕННОЕ ЗАДАНИЕ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__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</w:p>
    <w:p>
      <w:pPr>
        <w:pStyle w:val="95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5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годов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59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</w:t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Style w:val="956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по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ОКУД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0506001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Государственное бюджетное профессиональное образовательное уч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реждение Новосибирской области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Бердский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политехнический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сводному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85.21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I</w:t>
      </w:r>
      <w:r>
        <w:rPr>
          <w:rFonts w:ascii="Times New Roman" w:hAnsi="Times New Roman" w:cs="Times New Roman"/>
          <w:color w:val="000000" w:themeColor="text1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1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(отраслевому)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37.Д56.0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0"/>
        <w:gridCol w:w="1135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852101О.99.0.ББ28УА96000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43.02.10</w:t>
            </w:r>
            <w:r>
              <w:rPr>
                <w:color w:val="000000" w:themeColor="text1"/>
                <w:sz w:val="18"/>
              </w:rPr>
              <w:tab/>
              <w:t xml:space="preserve">Туризм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17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852101О.99.0.ББ28ЖД08000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18.02.01 Аналитический контроль качества химических соединений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1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852101О.99.0.ББ28НЮ16000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852100О.99.0.БО84НМ04000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29.02.10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852101О.99.0.ББ28ЗЦ44000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19.02.10 Технология продукции общественного питания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852101О.99.0.ББ28ДЭ52000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1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852101О.99.0.ББ28ШГ28002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852101О.99.0.ББ28ШГ52002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56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852101О.99.0.ББ28БЛ16000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852101О.99.0.ББ28ЧЗ52002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852101О.99.0.ББ28ШЯ04002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3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852101О.99.0.ББ28ШЯ28002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71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852101О.99.0.ББ28ЧЮ96002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18.02.12 Технология аналитического контроля химических соединений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20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852100О.99.0.БО84СЧ40000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  <w:t xml:space="preserve">43.02.16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14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ind w:left="-567"/>
        <w:jc w:val="both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b/>
                <w:color w:val="000000" w:themeColor="text1"/>
                <w:sz w:val="18"/>
              </w:rPr>
            </w:r>
            <w:r>
              <w:rPr>
                <w:b/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 год (очеред-ной финан-совый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(2-й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24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852101О.99.0.ББ28УА96000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43.02.10</w:t>
            </w:r>
            <w:r>
              <w:rPr>
                <w:color w:val="000000" w:themeColor="text1"/>
                <w:sz w:val="18"/>
              </w:rPr>
              <w:tab/>
              <w:t xml:space="preserve">Туризм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852101О.99.0.ББ28ЖД08000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18.02.01 Аналитический контроль качества химических соединений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852101О.99.0.ББ28НЮ16000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852100О.99.0.БО84НМ04000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29.02.10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852101О.99.0.ББ28ЗЦ44000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19.02.10 Технология продукции общественного питания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852101О.99.0.ББ28ДЭ52000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852101О.99.0.ББ28ШГ28002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852101О.99.0.ББ28ШГ52002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852101О.99.0.ББ28БЛ16000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852101О.99.0.ББ28ЧЗ52002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852101О.99.0.ББ28ШЯ04002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852101О.99.0.ББ28ШЯ28002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852101О.99.0.ББ28ЧЮ96002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18.02.12 Технология аналитического контроля химических соединений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852100О.99.0.БО84СЧ40000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человек</w:t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792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25</w:t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25</w:t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25</w:t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10</w:t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-</w:t>
            </w: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9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 Порядок оказания государственной услуги: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5.1. Нормативные правовые акты, регулирующие порядок оказания государственной услуги: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 w:themeColor="text1"/>
                <w:sz w:val="21"/>
                <w:szCs w:val="21"/>
              </w:rPr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90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color w:val="000000" w:themeColor="text1"/>
                <w:sz w:val="21"/>
                <w:szCs w:val="21"/>
              </w:rPr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 w:themeColor="text1"/>
                <w:sz w:val="21"/>
                <w:szCs w:val="21"/>
              </w:rPr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color w:val="000000" w:themeColor="text1"/>
                <w:sz w:val="21"/>
                <w:szCs w:val="21"/>
              </w:rPr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  <w:sz w:val="21"/>
                <w:szCs w:val="21"/>
              </w:rPr>
            </w:r>
            <w:r>
              <w:rPr>
                <w:color w:val="000000"/>
                <w:sz w:val="21"/>
                <w:szCs w:val="21"/>
              </w:rPr>
            </w:r>
          </w:p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</w:r>
            <w:r>
              <w:rPr>
                <w:color w:val="000000" w:themeColor="text1"/>
                <w:sz w:val="21"/>
                <w:szCs w:val="21"/>
              </w:rPr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5.2.  Порядок  информирования  потенциальных потребителей 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 xml:space="preserve">Правительства РФ от 20.10.2021 № </w:t>
            </w:r>
            <w:r>
              <w:rPr>
                <w:color w:val="000000" w:themeColor="text1"/>
              </w:rPr>
              <w:t xml:space="preserve">1802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</w:t>
            </w:r>
            <w:r>
              <w:rPr>
                <w:color w:val="000000" w:themeColor="text1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color w:val="000000" w:themeColor="text1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 работа в школах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(отраслевому)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24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852101О.99.0.ББ29СХ96002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15.01.31</w:t>
            </w:r>
            <w:r>
              <w:rPr>
                <w:color w:val="000000" w:themeColor="text1"/>
                <w:sz w:val="18"/>
              </w:rPr>
              <w:tab/>
              <w:t xml:space="preserve">Мастер контрольно-измерительных приборов и автоматики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852101О.99.0.ББ29ТГ04002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23.01.17</w:t>
            </w:r>
            <w:r>
              <w:rPr>
                <w:color w:val="000000" w:themeColor="text1"/>
                <w:sz w:val="18"/>
              </w:rPr>
              <w:tab/>
              <w:t xml:space="preserve">Мастер по ремонту и обслуживанию автомобилей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852101О.99.0.ББ29ГЗ68000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6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9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852101О.99.0.ББ29ГЧ08000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4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48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852100О.99.0.БО83АШ04000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left="-567"/>
        <w:jc w:val="both"/>
        <w:rPr>
          <w:color w:val="000000" w:themeColor="text1"/>
          <w:highlight w:val="none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>
        <w:rPr>
          <w:color w:val="000000" w:themeColor="text1"/>
          <w:highlight w:val="none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b/>
                <w:color w:val="000000" w:themeColor="text1"/>
                <w:sz w:val="18"/>
              </w:rPr>
            </w:r>
            <w:r>
              <w:rPr>
                <w:b/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 год (очеред-ной финан-совый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(2-й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24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 год (1-й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планово-го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852101О.99.0.ББ29СХ96002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15.01.31</w:t>
            </w:r>
            <w:r>
              <w:rPr>
                <w:color w:val="000000" w:themeColor="text1"/>
                <w:sz w:val="18"/>
              </w:rPr>
              <w:tab/>
              <w:t xml:space="preserve">Мастер контрольно-измерительных приборов и автоматики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148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148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0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852101О.99.0.ББ29ТГ04002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23.01.17</w:t>
            </w:r>
            <w:r>
              <w:rPr>
                <w:color w:val="000000" w:themeColor="text1"/>
                <w:sz w:val="18"/>
              </w:rPr>
              <w:tab/>
              <w:t xml:space="preserve">Мастер по ремонту и обслуживанию автомобилей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14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852101О.99.0.ББ29ГЗ68000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852101О.99.0.ББ29ГЧ08000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852100О.99.0.БО83АШ04000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 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 Порядок оказания государственной услуги: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5.1. Нормативные правовые акты, регулирующие порядок оказания государственной услуги: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 w:themeColor="text1"/>
                <w:sz w:val="21"/>
                <w:szCs w:val="21"/>
              </w:rPr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 w:themeColor="text1"/>
                <w:sz w:val="21"/>
                <w:szCs w:val="21"/>
              </w:rPr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color w:val="000000" w:themeColor="text1"/>
                <w:sz w:val="21"/>
                <w:szCs w:val="21"/>
              </w:rPr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  <w:sz w:val="21"/>
                <w:szCs w:val="21"/>
              </w:rPr>
            </w:r>
            <w:r>
              <w:rPr>
                <w:color w:val="000000"/>
                <w:sz w:val="21"/>
                <w:szCs w:val="2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5.2.  Порядок  информирования  потенциальных  потребителей  государственной у</w:t>
      </w:r>
      <w:r>
        <w:rPr>
          <w:color w:val="000000" w:themeColor="text1"/>
          <w:sz w:val="22"/>
          <w:szCs w:val="22"/>
        </w:rPr>
        <w:t xml:space="preserve">слу</w:t>
      </w:r>
      <w:r>
        <w:rPr>
          <w:color w:val="000000" w:themeColor="text1"/>
          <w:sz w:val="22"/>
          <w:szCs w:val="22"/>
        </w:rPr>
        <w:t xml:space="preserve">ги: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 xml:space="preserve">Правительства РФ от 20.10.2021 № </w:t>
            </w:r>
            <w:r>
              <w:rPr>
                <w:color w:val="000000" w:themeColor="text1"/>
              </w:rPr>
              <w:t xml:space="preserve">1802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приема; условия приема по договорам об оказании платных образовательных услуг; перечень специа</w:t>
            </w:r>
            <w:r>
              <w:rPr>
                <w:color w:val="000000" w:themeColor="text1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 работа в школах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rPr>
          <w:color w:val="000000" w:themeColor="text1"/>
        </w:rPr>
      </w:pPr>
      <w:r/>
      <w:bookmarkStart w:id="0" w:name="_GoBack"/>
      <w:r/>
      <w:bookmarkEnd w:id="0"/>
      <w:r>
        <w:rPr>
          <w:color w:val="000000" w:themeColor="text1"/>
        </w:rPr>
      </w:r>
      <w:r>
        <w:rPr>
          <w:color w:val="000000" w:themeColor="text1"/>
        </w:rPr>
      </w:r>
    </w:p>
    <w:p>
      <w:pPr>
        <w:shd w:val="nil" w:color="auto"/>
        <w:rPr>
          <w:color w:val="000000" w:themeColor="text1"/>
        </w:rPr>
      </w:pPr>
      <w:r>
        <w:rPr>
          <w:color w:val="000000" w:themeColor="text1"/>
          <w:highlight w:val="none"/>
        </w:rPr>
        <w:br w:type="page" w:clear="all"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center"/>
        <w:rPr>
          <w:color w:val="000000" w:themeColor="text1"/>
          <w:highlight w:val="none"/>
        </w:rPr>
      </w:pPr>
      <w:r>
        <w:rPr>
          <w:color w:val="000000" w:themeColor="text1"/>
        </w:rPr>
        <w:t xml:space="preserve">Часть </w:t>
      </w:r>
      <w:r>
        <w:rPr>
          <w:color w:val="000000" w:themeColor="text1"/>
          <w:lang w:val="en-US"/>
        </w:rPr>
        <w:t xml:space="preserve">III</w:t>
      </w:r>
      <w:r>
        <w:rPr>
          <w:color w:val="000000" w:themeColor="text1"/>
        </w:rPr>
        <w:t xml:space="preserve">. Прочие сведения о государственном задании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95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Выполнение государственного задания завершается по окончании финансового года. 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Досрочное прекращение государственного задания возможно при следующих условиях: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contextualSpacing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ликвидации, реорганизации профессионального образовательного учреждения;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contextualSpacing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contextualSpacing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иные основания, предусмотренные законодательством.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contextualSpacing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rPr>
          <w:rFonts w:eastAsia="Calibri"/>
          <w:color w:val="000000" w:themeColor="text1"/>
          <w:sz w:val="22"/>
          <w:szCs w:val="22"/>
        </w:rPr>
      </w:pPr>
      <w:r>
        <w:rPr>
          <w:rFonts w:eastAsia="Calibri"/>
          <w:color w:val="000000" w:themeColor="text1"/>
          <w:sz w:val="22"/>
          <w:szCs w:val="22"/>
        </w:rPr>
        <w:t xml:space="preserve">Иная информация не требуется.</w:t>
      </w:r>
      <w:r>
        <w:rPr>
          <w:rFonts w:eastAsia="Calibri"/>
          <w:color w:val="000000" w:themeColor="text1"/>
          <w:sz w:val="22"/>
          <w:szCs w:val="22"/>
        </w:rPr>
      </w:r>
      <w:r>
        <w:rPr>
          <w:rFonts w:eastAsia="Calibri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Форма контроля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Периодичность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 выполнением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государственного задания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eastAsia="Calibri"/>
                <w:color w:val="000000" w:themeColor="text1"/>
              </w:rPr>
            </w:r>
            <w:r>
              <w:rPr>
                <w:rFonts w:eastAsia="Calibri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eastAsia="Calibri"/>
                <w:color w:val="000000" w:themeColor="text1"/>
              </w:rPr>
            </w:r>
            <w:r>
              <w:rPr>
                <w:rFonts w:eastAsia="Calibri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eastAsia="Calibri"/>
                <w:color w:val="000000" w:themeColor="text1"/>
              </w:rPr>
            </w:r>
            <w:r>
              <w:rPr>
                <w:rFonts w:eastAsia="Calibri"/>
                <w:color w:val="000000" w:themeColor="text1"/>
              </w:rPr>
            </w:r>
          </w:p>
        </w:tc>
      </w:tr>
    </w:tbl>
    <w:p>
      <w:pPr>
        <w:pStyle w:val="95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ind w:left="0" w:firstLine="0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9"/>
        <w:ind w:left="0" w:firstLine="0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9"/>
        <w:jc w:val="righ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sectPr>
      <w:headerReference w:type="default" r:id="rId11"/>
      <w:footnotePr/>
      <w:endnotePr/>
      <w:type w:val="nextPage"/>
      <w:pgSz w:w="11906" w:h="16838" w:orient="portrait"/>
      <w:pgMar w:top="709" w:right="567" w:bottom="851" w:left="1418" w:header="720" w:footer="34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24</w:t>
        </w:r>
        <w:r>
          <w:fldChar w:fldCharType="end"/>
        </w:r>
        <w:r/>
      </w:p>
    </w:sdtContent>
  </w:sdt>
  <w:p>
    <w:pPr>
      <w:pStyle w:val="96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23</w:t>
        </w:r>
        <w:r>
          <w:fldChar w:fldCharType="end"/>
        </w:r>
        <w:r/>
      </w:p>
    </w:sdtContent>
  </w:sdt>
  <w:p>
    <w:pPr>
      <w:pStyle w:val="9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</w:pPr>
    <w:r/>
    <w:r/>
  </w:p>
  <w:p>
    <w:pPr>
      <w:pStyle w:val="9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8"/>
    <w:next w:val="948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8"/>
    <w:next w:val="948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character" w:styleId="780">
    <w:name w:val="Heading 3 Char"/>
    <w:basedOn w:val="950"/>
    <w:link w:val="949"/>
    <w:uiPriority w:val="9"/>
    <w:rPr>
      <w:rFonts w:ascii="Arial" w:hAnsi="Arial" w:eastAsia="Arial" w:cs="Arial"/>
      <w:sz w:val="30"/>
      <w:szCs w:val="30"/>
    </w:rPr>
  </w:style>
  <w:style w:type="paragraph" w:styleId="781">
    <w:name w:val="Heading 4"/>
    <w:basedOn w:val="948"/>
    <w:next w:val="948"/>
    <w:link w:val="7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2">
    <w:name w:val="Heading 4 Char"/>
    <w:basedOn w:val="950"/>
    <w:link w:val="781"/>
    <w:uiPriority w:val="9"/>
    <w:rPr>
      <w:rFonts w:ascii="Arial" w:hAnsi="Arial" w:eastAsia="Arial" w:cs="Arial"/>
      <w:b/>
      <w:bCs/>
      <w:sz w:val="26"/>
      <w:szCs w:val="26"/>
    </w:rPr>
  </w:style>
  <w:style w:type="paragraph" w:styleId="783">
    <w:name w:val="Heading 5"/>
    <w:basedOn w:val="948"/>
    <w:next w:val="948"/>
    <w:link w:val="7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4">
    <w:name w:val="Heading 5 Char"/>
    <w:basedOn w:val="950"/>
    <w:link w:val="783"/>
    <w:uiPriority w:val="9"/>
    <w:rPr>
      <w:rFonts w:ascii="Arial" w:hAnsi="Arial" w:eastAsia="Arial" w:cs="Arial"/>
      <w:b/>
      <w:bCs/>
      <w:sz w:val="24"/>
      <w:szCs w:val="24"/>
    </w:rPr>
  </w:style>
  <w:style w:type="paragraph" w:styleId="785">
    <w:name w:val="Heading 6"/>
    <w:basedOn w:val="948"/>
    <w:next w:val="948"/>
    <w:link w:val="7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6">
    <w:name w:val="Heading 6 Char"/>
    <w:basedOn w:val="950"/>
    <w:link w:val="785"/>
    <w:uiPriority w:val="9"/>
    <w:rPr>
      <w:rFonts w:ascii="Arial" w:hAnsi="Arial" w:eastAsia="Arial" w:cs="Arial"/>
      <w:b/>
      <w:bCs/>
      <w:sz w:val="22"/>
      <w:szCs w:val="22"/>
    </w:rPr>
  </w:style>
  <w:style w:type="paragraph" w:styleId="787">
    <w:name w:val="Heading 7"/>
    <w:basedOn w:val="948"/>
    <w:next w:val="948"/>
    <w:link w:val="7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8">
    <w:name w:val="Heading 7 Char"/>
    <w:basedOn w:val="950"/>
    <w:link w:val="7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9">
    <w:name w:val="Heading 8"/>
    <w:basedOn w:val="948"/>
    <w:next w:val="948"/>
    <w:link w:val="7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0">
    <w:name w:val="Heading 8 Char"/>
    <w:basedOn w:val="950"/>
    <w:link w:val="789"/>
    <w:uiPriority w:val="9"/>
    <w:rPr>
      <w:rFonts w:ascii="Arial" w:hAnsi="Arial" w:eastAsia="Arial" w:cs="Arial"/>
      <w:i/>
      <w:iCs/>
      <w:sz w:val="22"/>
      <w:szCs w:val="22"/>
    </w:rPr>
  </w:style>
  <w:style w:type="paragraph" w:styleId="791">
    <w:name w:val="Heading 9"/>
    <w:basedOn w:val="948"/>
    <w:next w:val="948"/>
    <w:link w:val="7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2">
    <w:name w:val="Heading 9 Char"/>
    <w:basedOn w:val="950"/>
    <w:link w:val="791"/>
    <w:uiPriority w:val="9"/>
    <w:rPr>
      <w:rFonts w:ascii="Arial" w:hAnsi="Arial" w:eastAsia="Arial" w:cs="Arial"/>
      <w:i/>
      <w:iCs/>
      <w:sz w:val="21"/>
      <w:szCs w:val="21"/>
    </w:rPr>
  </w:style>
  <w:style w:type="paragraph" w:styleId="793">
    <w:name w:val="No Spacing"/>
    <w:uiPriority w:val="1"/>
    <w:qFormat/>
    <w:pPr>
      <w:spacing w:before="0" w:after="0" w:line="240" w:lineRule="auto"/>
    </w:pPr>
  </w:style>
  <w:style w:type="paragraph" w:styleId="794">
    <w:name w:val="Title"/>
    <w:basedOn w:val="948"/>
    <w:next w:val="948"/>
    <w:link w:val="7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5">
    <w:name w:val="Title Char"/>
    <w:basedOn w:val="950"/>
    <w:link w:val="794"/>
    <w:uiPriority w:val="10"/>
    <w:rPr>
      <w:sz w:val="48"/>
      <w:szCs w:val="48"/>
    </w:rPr>
  </w:style>
  <w:style w:type="paragraph" w:styleId="796">
    <w:name w:val="Subtitle"/>
    <w:basedOn w:val="948"/>
    <w:next w:val="948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basedOn w:val="950"/>
    <w:link w:val="796"/>
    <w:uiPriority w:val="11"/>
    <w:rPr>
      <w:sz w:val="24"/>
      <w:szCs w:val="24"/>
    </w:rPr>
  </w:style>
  <w:style w:type="paragraph" w:styleId="798">
    <w:name w:val="Quote"/>
    <w:basedOn w:val="948"/>
    <w:next w:val="948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48"/>
    <w:next w:val="948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character" w:styleId="802">
    <w:name w:val="Header Char"/>
    <w:basedOn w:val="950"/>
    <w:link w:val="960"/>
    <w:uiPriority w:val="99"/>
  </w:style>
  <w:style w:type="character" w:styleId="803">
    <w:name w:val="Footer Char"/>
    <w:basedOn w:val="950"/>
    <w:link w:val="962"/>
    <w:uiPriority w:val="99"/>
  </w:style>
  <w:style w:type="paragraph" w:styleId="804">
    <w:name w:val="Caption"/>
    <w:basedOn w:val="948"/>
    <w:next w:val="9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962"/>
    <w:uiPriority w:val="99"/>
  </w:style>
  <w:style w:type="table" w:styleId="806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0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2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4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5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7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9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0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1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7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8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9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0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1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2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9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0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1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2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3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4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5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7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8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9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0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1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2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3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4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5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6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7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8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9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0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2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3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4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5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6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7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8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9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0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1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2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3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4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5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6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7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8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9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0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1">
    <w:name w:val="footnote text"/>
    <w:basedOn w:val="948"/>
    <w:link w:val="932"/>
    <w:uiPriority w:val="99"/>
    <w:semiHidden/>
    <w:unhideWhenUsed/>
    <w:pPr>
      <w:spacing w:after="40" w:line="240" w:lineRule="auto"/>
    </w:pPr>
    <w:rPr>
      <w:sz w:val="18"/>
    </w:rPr>
  </w:style>
  <w:style w:type="character" w:styleId="932">
    <w:name w:val="Footnote Text Char"/>
    <w:link w:val="931"/>
    <w:uiPriority w:val="99"/>
    <w:rPr>
      <w:sz w:val="18"/>
    </w:rPr>
  </w:style>
  <w:style w:type="character" w:styleId="933">
    <w:name w:val="footnote reference"/>
    <w:basedOn w:val="950"/>
    <w:uiPriority w:val="99"/>
    <w:unhideWhenUsed/>
    <w:rPr>
      <w:vertAlign w:val="superscript"/>
    </w:rPr>
  </w:style>
  <w:style w:type="paragraph" w:styleId="934">
    <w:name w:val="endnote text"/>
    <w:basedOn w:val="948"/>
    <w:link w:val="935"/>
    <w:uiPriority w:val="99"/>
    <w:semiHidden/>
    <w:unhideWhenUsed/>
    <w:pPr>
      <w:spacing w:after="0" w:line="240" w:lineRule="auto"/>
    </w:pPr>
    <w:rPr>
      <w:sz w:val="20"/>
    </w:rPr>
  </w:style>
  <w:style w:type="character" w:styleId="935">
    <w:name w:val="Endnote Text Char"/>
    <w:link w:val="934"/>
    <w:uiPriority w:val="99"/>
    <w:rPr>
      <w:sz w:val="20"/>
    </w:rPr>
  </w:style>
  <w:style w:type="character" w:styleId="936">
    <w:name w:val="endnote reference"/>
    <w:basedOn w:val="950"/>
    <w:uiPriority w:val="99"/>
    <w:semiHidden/>
    <w:unhideWhenUsed/>
    <w:rPr>
      <w:vertAlign w:val="superscript"/>
    </w:rPr>
  </w:style>
  <w:style w:type="paragraph" w:styleId="937">
    <w:name w:val="toc 1"/>
    <w:basedOn w:val="948"/>
    <w:next w:val="948"/>
    <w:uiPriority w:val="39"/>
    <w:unhideWhenUsed/>
    <w:pPr>
      <w:ind w:left="0" w:right="0" w:firstLine="0"/>
      <w:spacing w:after="57"/>
    </w:pPr>
  </w:style>
  <w:style w:type="paragraph" w:styleId="938">
    <w:name w:val="toc 2"/>
    <w:basedOn w:val="948"/>
    <w:next w:val="948"/>
    <w:uiPriority w:val="39"/>
    <w:unhideWhenUsed/>
    <w:pPr>
      <w:ind w:left="283" w:right="0" w:firstLine="0"/>
      <w:spacing w:after="57"/>
    </w:pPr>
  </w:style>
  <w:style w:type="paragraph" w:styleId="939">
    <w:name w:val="toc 3"/>
    <w:basedOn w:val="948"/>
    <w:next w:val="948"/>
    <w:uiPriority w:val="39"/>
    <w:unhideWhenUsed/>
    <w:pPr>
      <w:ind w:left="567" w:right="0" w:firstLine="0"/>
      <w:spacing w:after="57"/>
    </w:pPr>
  </w:style>
  <w:style w:type="paragraph" w:styleId="940">
    <w:name w:val="toc 4"/>
    <w:basedOn w:val="948"/>
    <w:next w:val="948"/>
    <w:uiPriority w:val="39"/>
    <w:unhideWhenUsed/>
    <w:pPr>
      <w:ind w:left="850" w:right="0" w:firstLine="0"/>
      <w:spacing w:after="57"/>
    </w:pPr>
  </w:style>
  <w:style w:type="paragraph" w:styleId="941">
    <w:name w:val="toc 5"/>
    <w:basedOn w:val="948"/>
    <w:next w:val="948"/>
    <w:uiPriority w:val="39"/>
    <w:unhideWhenUsed/>
    <w:pPr>
      <w:ind w:left="1134" w:right="0" w:firstLine="0"/>
      <w:spacing w:after="57"/>
    </w:pPr>
  </w:style>
  <w:style w:type="paragraph" w:styleId="942">
    <w:name w:val="toc 6"/>
    <w:basedOn w:val="948"/>
    <w:next w:val="948"/>
    <w:uiPriority w:val="39"/>
    <w:unhideWhenUsed/>
    <w:pPr>
      <w:ind w:left="1417" w:right="0" w:firstLine="0"/>
      <w:spacing w:after="57"/>
    </w:pPr>
  </w:style>
  <w:style w:type="paragraph" w:styleId="943">
    <w:name w:val="toc 7"/>
    <w:basedOn w:val="948"/>
    <w:next w:val="948"/>
    <w:uiPriority w:val="39"/>
    <w:unhideWhenUsed/>
    <w:pPr>
      <w:ind w:left="1701" w:right="0" w:firstLine="0"/>
      <w:spacing w:after="57"/>
    </w:pPr>
  </w:style>
  <w:style w:type="paragraph" w:styleId="944">
    <w:name w:val="toc 8"/>
    <w:basedOn w:val="948"/>
    <w:next w:val="948"/>
    <w:uiPriority w:val="39"/>
    <w:unhideWhenUsed/>
    <w:pPr>
      <w:ind w:left="1984" w:right="0" w:firstLine="0"/>
      <w:spacing w:after="57"/>
    </w:pPr>
  </w:style>
  <w:style w:type="paragraph" w:styleId="945">
    <w:name w:val="toc 9"/>
    <w:basedOn w:val="948"/>
    <w:next w:val="948"/>
    <w:uiPriority w:val="39"/>
    <w:unhideWhenUsed/>
    <w:pPr>
      <w:ind w:left="2268" w:right="0" w:firstLine="0"/>
      <w:spacing w:after="57"/>
    </w:pPr>
  </w:style>
  <w:style w:type="paragraph" w:styleId="946">
    <w:name w:val="TOC Heading"/>
    <w:uiPriority w:val="39"/>
    <w:unhideWhenUsed/>
  </w:style>
  <w:style w:type="paragraph" w:styleId="947">
    <w:name w:val="table of figures"/>
    <w:basedOn w:val="948"/>
    <w:next w:val="948"/>
    <w:uiPriority w:val="99"/>
    <w:unhideWhenUsed/>
    <w:pPr>
      <w:spacing w:after="0" w:afterAutospacing="0"/>
    </w:pPr>
  </w:style>
  <w:style w:type="paragraph" w:styleId="94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9">
    <w:name w:val="Heading 3"/>
    <w:basedOn w:val="948"/>
    <w:next w:val="948"/>
    <w:link w:val="953"/>
    <w:qFormat/>
    <w:pPr>
      <w:jc w:val="center"/>
      <w:keepNext/>
      <w:tabs>
        <w:tab w:val="left" w:pos="2304" w:leader="none"/>
      </w:tabs>
      <w:outlineLvl w:val="2"/>
    </w:pPr>
    <w:rPr>
      <w:sz w:val="28"/>
    </w:rPr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 w:customStyle="1">
    <w:name w:val="Заголовок 3 Знак"/>
    <w:basedOn w:val="950"/>
    <w:link w:val="94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54">
    <w:name w:val="Balloon Text"/>
    <w:basedOn w:val="948"/>
    <w:link w:val="955"/>
    <w:uiPriority w:val="99"/>
    <w:semiHidden/>
    <w:unhideWhenUsed/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956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7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8">
    <w:name w:val="List Paragraph"/>
    <w:basedOn w:val="948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959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60">
    <w:name w:val="Header"/>
    <w:basedOn w:val="948"/>
    <w:link w:val="961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61" w:customStyle="1">
    <w:name w:val="Верхний колонтитул Знак"/>
    <w:basedOn w:val="950"/>
    <w:link w:val="960"/>
    <w:uiPriority w:val="99"/>
    <w:rPr>
      <w:rFonts w:eastAsiaTheme="minorEastAsia"/>
      <w:lang w:eastAsia="ru-RU"/>
    </w:rPr>
  </w:style>
  <w:style w:type="paragraph" w:styleId="962">
    <w:name w:val="Footer"/>
    <w:basedOn w:val="948"/>
    <w:link w:val="963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63" w:customStyle="1">
    <w:name w:val="Нижний колонтитул Знак"/>
    <w:basedOn w:val="950"/>
    <w:link w:val="962"/>
    <w:uiPriority w:val="99"/>
    <w:rPr>
      <w:rFonts w:eastAsiaTheme="minorEastAsia"/>
      <w:lang w:eastAsia="ru-RU"/>
    </w:rPr>
  </w:style>
  <w:style w:type="paragraph" w:styleId="964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B4A48-D84F-4C36-B857-3CE0BC48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revision>44</cp:revision>
  <dcterms:created xsi:type="dcterms:W3CDTF">2021-03-02T09:13:00Z</dcterms:created>
  <dcterms:modified xsi:type="dcterms:W3CDTF">2024-01-10T09:56:49Z</dcterms:modified>
</cp:coreProperties>
</file>