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footnotes.xml" ContentType="application/vnd.openxmlformats-officedocument.wordprocessingml.footnotes+xml"/>
  <Override PartName="/word/styles.xml" ContentType="application/vnd.openxmlformats-officedocument.wordprocessingml.styl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957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УТВЕРЖДЕНО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7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приказом Минобразования Новосибирской области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7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___________  № _____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7"/>
        <w:ind w:left="5387"/>
        <w:jc w:val="center"/>
        <w:tabs>
          <w:tab w:val="left" w:pos="5670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57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Министр образования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7"/>
        <w:ind w:left="5387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Новосибирской области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57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__________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М.Н. Жафярова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7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«___» ________20</w:t>
      </w:r>
      <w:r>
        <w:rPr>
          <w:rFonts w:ascii="Times New Roman" w:hAnsi="Times New Roman" w:cs="Times New Roman"/>
          <w:sz w:val="28"/>
          <w:szCs w:val="28"/>
        </w:rPr>
        <w:t xml:space="preserve">2</w:t>
      </w:r>
      <w:r>
        <w:rPr>
          <w:rFonts w:ascii="Times New Roman" w:hAnsi="Times New Roman" w:cs="Times New Roman"/>
          <w:sz w:val="28"/>
          <w:szCs w:val="28"/>
        </w:rPr>
        <w:t xml:space="preserve">3 г.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7"/>
        <w:jc w:val="right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57"/>
        <w:jc w:val="right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5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ГОСУДАРСТВЕННОЕ ЗАДАНИЕ №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u w:val="none"/>
        </w:rPr>
        <w:t xml:space="preserve">__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95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95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  <w:t xml:space="preserve">на 20</w:t>
      </w:r>
      <w:r>
        <w:rPr>
          <w:rFonts w:ascii="Times New Roman" w:hAnsi="Times New Roman" w:cs="Times New Roman"/>
          <w:b/>
          <w:sz w:val="28"/>
          <w:szCs w:val="28"/>
        </w:rPr>
        <w:t xml:space="preserve">2</w:t>
      </w:r>
      <w:r>
        <w:rPr>
          <w:rFonts w:ascii="Times New Roman" w:hAnsi="Times New Roman" w:cs="Times New Roman"/>
          <w:b/>
          <w:sz w:val="28"/>
          <w:szCs w:val="28"/>
        </w:rPr>
        <w:t xml:space="preserve">4 год и на плановый период 202</w:t>
      </w:r>
      <w:r>
        <w:rPr>
          <w:rFonts w:ascii="Times New Roman" w:hAnsi="Times New Roman" w:cs="Times New Roman"/>
          <w:b/>
          <w:sz w:val="28"/>
          <w:szCs w:val="28"/>
        </w:rPr>
        <w:t xml:space="preserve">5 и 202</w:t>
      </w:r>
      <w:r>
        <w:rPr>
          <w:rFonts w:ascii="Times New Roman" w:hAnsi="Times New Roman" w:cs="Times New Roman"/>
          <w:b/>
          <w:sz w:val="28"/>
          <w:szCs w:val="28"/>
        </w:rPr>
        <w:t xml:space="preserve">6 годов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957"/>
        <w:jc w:val="center"/>
      </w:pPr>
      <w:r>
        <w:t xml:space="preserve">                                    </w:t>
      </w:r>
      <w:r/>
    </w:p>
    <w:tbl>
      <w:tblPr>
        <w:tblStyle w:val="962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>
        <w:trPr>
          <w:trHeight w:val="36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9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Коды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581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Наименование государственного учреждения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Новосибирской области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vMerge w:val="restart"/>
            <w:textDirection w:val="lrTb"/>
            <w:noWrap w:val="false"/>
          </w:tcPr>
          <w:p>
            <w:pPr>
              <w:pStyle w:val="9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Форма по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ОКУД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</w:tcBorders>
            <w:tcW w:w="1064" w:type="dxa"/>
            <w:vAlign w:val="center"/>
            <w:vMerge w:val="restart"/>
            <w:textDirection w:val="lrTb"/>
            <w:noWrap w:val="false"/>
          </w:tcPr>
          <w:p>
            <w:pPr>
              <w:pStyle w:val="9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0506001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36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Государственное </w:t>
            </w:r>
            <w:r>
              <w:rPr>
                <w:rFonts w:ascii="Times New Roman" w:hAnsi="Times New Roman" w:cs="Times New Roman"/>
                <w:b/>
              </w:rPr>
              <w:t xml:space="preserve">бюджетное</w:t>
            </w:r>
            <w:r>
              <w:rPr>
                <w:rFonts w:ascii="Times New Roman" w:hAnsi="Times New Roman" w:cs="Times New Roman"/>
                <w:b/>
              </w:rPr>
              <w:t xml:space="preserve"> профессиональное образовательное уч</w:t>
            </w:r>
            <w:r>
              <w:rPr>
                <w:rFonts w:ascii="Times New Roman" w:hAnsi="Times New Roman" w:cs="Times New Roman"/>
                <w:b/>
              </w:rPr>
              <w:t xml:space="preserve">реждение Новосибирской области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vMerge w:val="continue"/>
            <w:textDirection w:val="lrTb"/>
            <w:noWrap w:val="false"/>
          </w:tcPr>
          <w:p>
            <w:pPr>
              <w:pStyle w:val="9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</w:tcBorders>
            <w:tcW w:w="1064" w:type="dxa"/>
            <w:vMerge w:val="continue"/>
            <w:textDirection w:val="lrTb"/>
            <w:noWrap w:val="false"/>
          </w:tcPr>
          <w:p>
            <w:pPr>
              <w:pStyle w:val="9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555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  <w:b/>
                <w:sz w:val="14"/>
              </w:rPr>
            </w:pPr>
            <w:r>
              <w:rPr>
                <w:rFonts w:ascii="Times New Roman" w:hAnsi="Times New Roman" w:cs="Times New Roman"/>
                <w:b/>
                <w:sz w:val="14"/>
              </w:rPr>
            </w:r>
            <w:r>
              <w:rPr>
                <w:rFonts w:ascii="Times New Roman" w:hAnsi="Times New Roman" w:cs="Times New Roman"/>
                <w:b/>
                <w:sz w:val="14"/>
              </w:rPr>
            </w:r>
            <w:r>
              <w:rPr>
                <w:rFonts w:ascii="Times New Roman" w:hAnsi="Times New Roman" w:cs="Times New Roman"/>
                <w:b/>
                <w:sz w:val="14"/>
              </w:rPr>
            </w:r>
          </w:p>
          <w:p>
            <w:pPr>
              <w:pStyle w:val="957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«Новосибирский </w:t>
            </w:r>
            <w:r>
              <w:rPr>
                <w:rFonts w:ascii="Times New Roman" w:hAnsi="Times New Roman" w:cs="Times New Roman"/>
                <w:b/>
              </w:rPr>
              <w:t xml:space="preserve">промышленно-энергетический</w:t>
            </w:r>
            <w:r>
              <w:rPr>
                <w:rFonts w:ascii="Times New Roman" w:hAnsi="Times New Roman" w:cs="Times New Roman"/>
                <w:b/>
              </w:rPr>
              <w:t xml:space="preserve"> колледж</w:t>
            </w:r>
            <w:r>
              <w:rPr>
                <w:rFonts w:ascii="Times New Roman" w:hAnsi="Times New Roman" w:cs="Times New Roman"/>
                <w:b/>
              </w:rPr>
              <w:t xml:space="preserve">»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Дата начала действия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9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555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  <w:b/>
                <w:sz w:val="14"/>
              </w:rPr>
            </w:pPr>
            <w:r>
              <w:rPr>
                <w:rFonts w:ascii="Times New Roman" w:hAnsi="Times New Roman" w:cs="Times New Roman"/>
              </w:rPr>
              <w:t xml:space="preserve">Виды деятельности государственного учреждения Новосибирской  области</w:t>
            </w:r>
            <w:r>
              <w:rPr>
                <w:rFonts w:ascii="Times New Roman" w:hAnsi="Times New Roman" w:cs="Times New Roman"/>
                <w:b/>
                <w:sz w:val="14"/>
              </w:rPr>
            </w:r>
            <w:r>
              <w:rPr>
                <w:rFonts w:ascii="Times New Roman" w:hAnsi="Times New Roman" w:cs="Times New Roman"/>
                <w:b/>
                <w:sz w:val="1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Дата окончания действия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9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571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Код по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сводному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реестру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9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363"/>
        </w:trPr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38" w:type="dxa"/>
            <w:vAlign w:val="bottom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Образование и наука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ОКВЭД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64" w:type="dxa"/>
            <w:vAlign w:val="center"/>
            <w:textDirection w:val="lrTb"/>
            <w:noWrap w:val="false"/>
          </w:tcPr>
          <w:p>
            <w:pPr>
              <w:pStyle w:val="9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85.21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363"/>
        </w:trPr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38" w:type="dxa"/>
            <w:vAlign w:val="bottom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Вид государственного учреждения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ОКВЭД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9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323"/>
        </w:trPr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38" w:type="dxa"/>
            <w:vAlign w:val="bottom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Профессиональная образовательная организация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ОКВЭД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9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486"/>
        </w:trPr>
        <w:tc>
          <w:tcPr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(указывается вид деятельности государственного учреждения из базового (отраслевого) перечня или регионального перечня)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64" w:type="dxa"/>
            <w:textDirection w:val="lrTb"/>
            <w:noWrap w:val="false"/>
          </w:tcPr>
          <w:p>
            <w:pPr>
              <w:pStyle w:val="9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</w:tbl>
    <w:p>
      <w:pPr>
        <w:pStyle w:val="957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Часть </w:t>
      </w:r>
      <w:r>
        <w:rPr>
          <w:rFonts w:ascii="Times New Roman" w:hAnsi="Times New Roman" w:cs="Times New Roman"/>
          <w:lang w:val="en-US"/>
        </w:rPr>
        <w:t xml:space="preserve">I</w:t>
      </w:r>
      <w:r>
        <w:rPr>
          <w:rFonts w:ascii="Times New Roman" w:hAnsi="Times New Roman" w:cs="Times New Roman"/>
        </w:rPr>
        <w:t xml:space="preserve">. Сведения об оказываемых государственных услугах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57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57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Раздел 1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57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tbl>
      <w:tblPr>
        <w:tblStyle w:val="962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>
        <w:trPr>
          <w:trHeight w:val="239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right w:val="none" w:color="000000" w:sz="4" w:space="0"/>
            </w:tcBorders>
            <w:tcW w:w="155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Код по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базовому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(отраслевому)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перечню или региональному перечню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pStyle w:val="9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17" w:type="dxa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22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none" w:color="000000" w:sz="4" w:space="0"/>
              <w:right w:val="none" w:color="000000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1017" w:type="dxa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46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Реализация образовательных программ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среднего профессионального образования - программ подготовки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специалистов среднего звена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017" w:type="dxa"/>
            <w:vMerge w:val="restart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37.Д56.0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017" w:type="dxa"/>
            <w:vMerge w:val="continue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57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 xml:space="preserve">Ф</w:t>
            </w:r>
            <w:r>
              <w:rPr>
                <w:rFonts w:ascii="Times New Roman" w:hAnsi="Times New Roman" w:cs="Times New Roman"/>
              </w:rPr>
              <w:t xml:space="preserve">изические лица, имеющие основное общее образование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</w:p>
          <w:p>
            <w:pPr>
              <w:pStyle w:val="9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Физические лица, имеющие 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среднее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 общее образование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17" w:type="dxa"/>
            <w:vMerge w:val="continue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</w:tbl>
    <w:p>
      <w:pPr>
        <w:pStyle w:val="957"/>
        <w:rPr>
          <w:rFonts w:ascii="Times New Roman" w:hAnsi="Times New Roman" w:cs="Times New Roman"/>
        </w:rPr>
        <w:sectPr>
          <w:headerReference w:type="default" r:id="rId9"/>
          <w:footerReference w:type="default" r:id="rId12"/>
          <w:footerReference w:type="first" r:id="rId13"/>
          <w:footnotePr/>
          <w:endnotePr/>
          <w:type w:val="nextPage"/>
          <w:pgSz w:w="11906" w:h="16838" w:orient="portrait"/>
          <w:pgMar w:top="709" w:right="567" w:bottom="851" w:left="1418" w:header="720" w:footer="340" w:gutter="0"/>
          <w:cols w:num="1" w:sep="0" w:space="720" w:equalWidth="1"/>
          <w:docGrid w:linePitch="360"/>
          <w:titlePg/>
        </w:sect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57"/>
        <w:ind w:left="-567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3. Показатели, характеризующие объем и (или) качество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ind w:left="-567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ind w:left="-567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3.1. Показатели, характеризующие качество государственной услуги: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tbl>
      <w:tblPr>
        <w:tblW w:w="16018" w:type="dxa"/>
        <w:tblInd w:w="-6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134"/>
        <w:gridCol w:w="851"/>
        <w:gridCol w:w="992"/>
        <w:gridCol w:w="2693"/>
        <w:gridCol w:w="851"/>
        <w:gridCol w:w="709"/>
        <w:gridCol w:w="992"/>
        <w:gridCol w:w="992"/>
        <w:gridCol w:w="1134"/>
        <w:gridCol w:w="568"/>
        <w:gridCol w:w="568"/>
        <w:gridCol w:w="848"/>
      </w:tblGrid>
      <w:tr>
        <w:trPr>
          <w:trHeight w:val="99"/>
        </w:trPr>
        <w:tc>
          <w:tcPr>
            <w:tcW w:w="99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 номер реестровой записи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82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(по справочникам)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(по справочникам)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425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качества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1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показателя качества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13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Допустимые  (возможные)  отклонения  от  установленных показателей качества государственной услуги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Результаты оценки степени значимости показателя качества государственной услуги (в баллах)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46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827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84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5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 год (очередной финансовый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год (1-й год планового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год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(2-й год планового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процентах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абсолютных показателях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55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ind w:right="-23"/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вание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ОКЕИ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outlineLvl w:val="0"/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21"/>
        </w:trPr>
        <w:tc>
          <w:tcPr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4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5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6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2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7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8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9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10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11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12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5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13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5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14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84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15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</w:tr>
      <w:tr>
        <w:trPr>
          <w:trHeight w:val="105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852101О.99.0.ББ28ДГ92000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13.02.01 Тепловые электрические станции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583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82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550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54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720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852101О.99.0.ББ28ДС88000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13.02.07 Электроснабжение (по отраслям)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720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720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720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59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54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852101О.99.0.ББ28ДТ12000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13.02.07 Электроснабжение (по отраслям)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Среднее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54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852101О.99.0.ББ28БЕ84000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08.02.09 Монтаж, наладка и эксплуатация электрооборудования промышленных и гражданских зданий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54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852101О.99.0.ББ28ДП72000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13.02.06 Релейная защита и автоматизация электроэнергетических систем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54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852101О.99.0.ББ28ШП08002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27.02.07 Управление качеством продукции, процессов и услуг (по отраслям)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54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54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54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54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54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852101О.99.0.ББ28ШП32002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27.02.07 Управление качеством продукции, процессов и услуг (по отраслям)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Среднее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54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54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54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54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54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852101О.99.0.ББ28ЧЧ64002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15.02.14 Оснащение средствами автоматизации технологических процессов и производств (по отраслям)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54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54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54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54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54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852101О.99.0.ББ28ЧЧ88002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15.02.14 Оснащение средствами автоматизации технологических процессов и производств (по отраслям)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Среднее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</w:tr>
      <w:tr>
        <w:trPr>
          <w:trHeight w:val="354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</w:tr>
      <w:tr>
        <w:trPr>
          <w:trHeight w:val="354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</w:tr>
      <w:tr>
        <w:trPr>
          <w:trHeight w:val="354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</w:tr>
      <w:tr>
        <w:trPr>
          <w:trHeight w:val="354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54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852101О.99.0.ББ28ЦЮ88002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09.02.07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Информационные системы и программирование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54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852101О.99.0.ББ28ЧГ20002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10.02.05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Обеспечение информационной безопасности автоматизированных систем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</w:tbl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3.2. Показатели, характеризующие объем государственной услуги: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tbl>
      <w:tblPr>
        <w:tblW w:w="16302" w:type="dxa"/>
        <w:tblInd w:w="-789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701"/>
        <w:gridCol w:w="1134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>
        <w:trPr>
          <w:trHeight w:val="56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 номер реест-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ровой записи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(по справочникам)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(по справочникам)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объема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показателя объема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Размер платы (цена, тариф)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Допустимые  (возможные)  отклонения  от  установленных показателей объема государственной услуги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57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(очеред-ной финан-совый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год (1-й год планово-го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год (2-й год планово-го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(очеред-ной финан-совый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год (1-й год планово-го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год (2-й год планово-го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процентах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абсолютных показателях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496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ind w:right="-23"/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наиме-нование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</w:t>
            </w:r>
            <w:hyperlink r:id="rId15" w:tooltip="consultantplus://offline/ref=DC41E2772540CE89436B920E86BEF4F9345B73C5B114AE3A8765A72052AFVDF" w:history="1">
              <w:r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21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11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12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13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14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98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852101О.99.0.ББ28ДГ92000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13.02.01 Тепловые электрические станции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 xml:space="preserve">98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 xml:space="preserve">98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 xml:space="preserve">98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101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852101О.99.0.ББ28ДС88000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13.02.07 Электроснабжение (по отраслям)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 xml:space="preserve">50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 xml:space="preserve">50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 xml:space="preserve">50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2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852101О.99.0.ББ28ДТ12000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13.02.07 Электроснабжение (по отраслям)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Среднее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 xml:space="preserve">72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 xml:space="preserve">72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 xml:space="preserve">72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1308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852101О.99.0.ББ28БЕ84000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08.02.09 Монтаж, наладка и эксплуатация электрооборудования промышленных и гражданских зданий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 xml:space="preserve">98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 xml:space="preserve">98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 xml:space="preserve">98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83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852101О.99.0.ББ28ДП72000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13.02.06 Релейная защита и автоматизация электроэнергетических систем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 xml:space="preserve">99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 xml:space="preserve">99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 xml:space="preserve">99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140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852101О.99.0.ББ28ШП08002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27.02.07 Управление качеством продукции, процессов и услуг (по отраслям)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 xml:space="preserve">97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 xml:space="preserve">97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 xml:space="preserve">97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1669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852101О.99.0.ББ28ШП32002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27.02.07 Управление качеством продукции, процессов и услуг (по отраслям)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Среднее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 xml:space="preserve">67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 xml:space="preserve">67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 xml:space="preserve">67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2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852101О.99.0.ББ28ЧЧ64002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15.02.14 Оснащение средствами автоматизации технологических процессов и производств (по отраслям)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 xml:space="preserve">74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 xml:space="preserve">74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 xml:space="preserve">74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2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852101О.99.0.ББ28ЧЧ88002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15.02.14 Оснащение средствами автоматизации технологических процессов и производств (по отраслям)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Среднее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 xml:space="preserve">42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 xml:space="preserve">42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 xml:space="preserve">42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2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852101О.99.0.ББ28ЦЮ88002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09.02.07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Информационные системы и программирование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 xml:space="preserve">25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 xml:space="preserve">25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 xml:space="preserve">25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71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852101О.99.0.ББ28ЧГ20002</w:t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10.02.05 Обеспечение информационной безопасности автоматизированных систем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 xml:space="preserve">25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 xml:space="preserve">25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 xml:space="preserve">25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</w:tbl>
    <w:p>
      <w:pPr>
        <w:pStyle w:val="957"/>
        <w:rPr>
          <w:rFonts w:ascii="Times New Roman" w:hAnsi="Times New Roman" w:cs="Times New Roman"/>
          <w:color w:val="ff0000"/>
          <w:sz w:val="4"/>
        </w:rPr>
      </w:pPr>
      <w:r>
        <w:rPr>
          <w:rFonts w:ascii="Times New Roman" w:hAnsi="Times New Roman" w:cs="Times New Roman"/>
          <w:color w:val="ff0000"/>
          <w:sz w:val="4"/>
        </w:rPr>
      </w:r>
      <w:r>
        <w:rPr>
          <w:rFonts w:ascii="Times New Roman" w:hAnsi="Times New Roman" w:cs="Times New Roman"/>
          <w:color w:val="ff0000"/>
          <w:sz w:val="4"/>
        </w:rPr>
      </w:r>
      <w:r>
        <w:rPr>
          <w:rFonts w:ascii="Times New Roman" w:hAnsi="Times New Roman" w:cs="Times New Roman"/>
          <w:color w:val="ff0000"/>
          <w:sz w:val="4"/>
        </w:rPr>
      </w:r>
    </w:p>
    <w:p>
      <w:pPr>
        <w:pStyle w:val="957"/>
        <w:jc w:val="center"/>
        <w:rPr>
          <w:color w:val="ff0000"/>
        </w:rPr>
        <w:sectPr>
          <w:footnotePr/>
          <w:endnotePr/>
          <w:type w:val="nextPage"/>
          <w:pgSz w:w="16838" w:h="11906" w:orient="landscape"/>
          <w:pgMar w:top="567" w:right="567" w:bottom="851" w:left="1134" w:header="340" w:footer="567" w:gutter="0"/>
          <w:cols w:num="1" w:sep="0" w:space="720" w:equalWidth="1"/>
          <w:docGrid w:linePitch="360"/>
          <w:titlePg/>
        </w:sectPr>
      </w:pPr>
      <w:r>
        <w:rPr>
          <w:color w:val="ff0000"/>
        </w:rPr>
      </w:r>
      <w:r>
        <w:rPr>
          <w:color w:val="ff0000"/>
        </w:rPr>
      </w:r>
      <w:r>
        <w:rPr>
          <w:color w:val="ff0000"/>
        </w:rPr>
      </w:r>
    </w:p>
    <w:p>
      <w:pPr>
        <w:pStyle w:val="957"/>
        <w:jc w:val="center"/>
        <w:rPr>
          <w:rFonts w:ascii="Times New Roman" w:hAnsi="Times New Roman" w:cs="Times New Roman"/>
          <w:color w:val="ff0000"/>
          <w:szCs w:val="22"/>
        </w:rPr>
      </w:pPr>
      <w:r>
        <w:rPr>
          <w:rFonts w:ascii="Times New Roman" w:hAnsi="Times New Roman" w:cs="Times New Roman"/>
          <w:color w:val="ff0000"/>
          <w:szCs w:val="22"/>
        </w:rPr>
      </w:r>
      <w:r>
        <w:rPr>
          <w:rFonts w:ascii="Times New Roman" w:hAnsi="Times New Roman" w:cs="Times New Roman"/>
          <w:color w:val="ff0000"/>
          <w:szCs w:val="22"/>
        </w:rPr>
      </w:r>
      <w:r>
        <w:rPr>
          <w:rFonts w:ascii="Times New Roman" w:hAnsi="Times New Roman" w:cs="Times New Roman"/>
          <w:color w:val="ff0000"/>
          <w:szCs w:val="22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4. Нормативные правовые акты, устанавливающие размер платы (цену, тариф) либо порядок ее (его) установления: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W w:w="0" w:type="auto"/>
        <w:tblInd w:w="62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>
        <w:trPr/>
        <w:tc>
          <w:tcPr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61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Нормативный правовой акт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вид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принявший орган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дата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номер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4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5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  <w:outlineLvl w:val="0"/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 Порядок оказания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5.1. Нормативные правовые акты, регулирующие порядок оказания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>
        <w:trPr>
          <w:trHeight w:val="57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Федеральный закон от 29.12.2012 № 273-ФЗ «Об образовании в Российской Федерации»;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rPr>
          <w:trHeight w:val="71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Федеральный закон от 21.12.2021 № 414-ФЗ «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Об общих принципах организации публичной власти в субъектах Российской Федерации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»;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rPr>
          <w:trHeight w:val="73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Закон Новосибирской области от 05.07.2013 № 361-ОЗ «О регулировании отношений в сфере образования в Новосибирской области»;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rPr>
          <w:trHeight w:val="73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Приказ Минобрнауки РФ от 29.10.2013 № 1199 «Об утверждении перечней профессий и специальностей среднего профессионального образования».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rPr>
          <w:trHeight w:val="735"/>
        </w:trPr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1"/>
                <w:szCs w:val="21"/>
              </w:rPr>
              <w:t xml:space="preserve">Приказ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Министерства просвещен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ия Российской Федерации от 17.05.2022 № 336 «Об утверждении перечней профессий и специальностей среднего профессионального образования и установлении соответствия отдельных профессий и специальностей среднего профессионального образования, указанных в этих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перечнях, профессиям и 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специальностям среднего профессионального образования, перечни которых утверждены приказом министерства образования и науки Российской Федерации от 29.10.2013 №1199 «Об у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тверждении перечней профессий и 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специальностей среднего профессионального образования»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1"/>
                <w:szCs w:val="21"/>
              </w:rPr>
              <w:t xml:space="preserve">.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1"/>
                <w:szCs w:val="2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1"/>
                <w:szCs w:val="21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5.2.  Порядок  информирования  потенциальных потребителей 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W w:w="0" w:type="auto"/>
        <w:tblInd w:w="6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>
        <w:trPr/>
        <w:tc>
          <w:tcPr>
            <w:tcW w:w="3193" w:type="dxa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Способ информирования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Состав размещаемой информации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Частота обновления информации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</w:tr>
      <w:tr>
        <w:trPr/>
        <w:tc>
          <w:tcPr>
            <w:tcW w:w="3193" w:type="dxa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1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2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3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на сайте профессиональной образовательной организации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соответствии с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Постановлением Правительства РФ от 20.10.2021 № 1802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"Об утверждении Правил размещения на официальном сайте образо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вательной организации в информационно-телекоммуникационной сети "Интернет" и обновления информации об образовательной организации, а также о признании утратившими силу некоторых актов и отдельных положений некоторых актов Правительства Российской Федерации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средствах массовой информации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необходимости обязательного предварительного медицинского осмотра; информация о наличии общежития; контактная информация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справочниках, буклетах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 мере необходимости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на информационных стендах профессиональной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образовательной организации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 мере необходимости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Профориентационная работа в школах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pStyle w:val="957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</w:rPr>
        <w:br w:type="page" w:clear="all"/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pStyle w:val="957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Раздел 2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57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Style w:val="962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>
        <w:trPr>
          <w:trHeight w:val="239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1. Наименование государственной услуги           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right w:val="none" w:color="000000" w:sz="4" w:space="0"/>
            </w:tcBorders>
            <w:tcW w:w="155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Код по</w:t>
            </w: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</w:r>
          </w:p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базовому</w:t>
            </w: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</w:r>
          </w:p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(отраслевому)</w:t>
            </w: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</w:r>
          </w:p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перечню или региональному перечню</w:t>
            </w: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</w:r>
          </w:p>
          <w:p>
            <w:pPr>
              <w:pStyle w:val="957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17" w:type="dxa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rPr>
          <w:trHeight w:val="22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none" w:color="000000" w:sz="4" w:space="0"/>
              <w:right w:val="none" w:color="000000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1017" w:type="dxa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rPr>
          <w:trHeight w:val="46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Реализация образовательных программ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pStyle w:val="95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среднего профессионального образования - программ подготовки квалифицированных рабочих, служащих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017" w:type="dxa"/>
            <w:vMerge w:val="restart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37.Д57.0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017" w:type="dxa"/>
            <w:vMerge w:val="continue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2. Категории потребителей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pStyle w:val="95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pStyle w:val="95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Физические лица, имеющие 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17" w:type="dxa"/>
            <w:vMerge w:val="continue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</w:tbl>
    <w:p>
      <w:pPr>
        <w:pStyle w:val="957"/>
        <w:rPr>
          <w:rFonts w:ascii="Times New Roman" w:hAnsi="Times New Roman" w:cs="Times New Roman"/>
          <w:color w:val="000000" w:themeColor="text1"/>
        </w:rPr>
        <w:sectPr>
          <w:headerReference w:type="default" r:id="rId10"/>
          <w:footnotePr/>
          <w:endnotePr/>
          <w:type w:val="nextPage"/>
          <w:pgSz w:w="11906" w:h="16838" w:orient="portrait"/>
          <w:pgMar w:top="1134" w:right="567" w:bottom="1134" w:left="1418" w:header="720" w:footer="720" w:gutter="0"/>
          <w:cols w:num="1" w:sep="0" w:space="720" w:equalWidth="1"/>
          <w:docGrid w:linePitch="360"/>
          <w:titlePg/>
        </w:sect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57"/>
        <w:ind w:left="-567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3. Показатели, характеризующие объем и (или) качество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ind w:left="-567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ind w:left="-567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3.1. Показатели, характеризующие качество государственной услуги: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tbl>
      <w:tblPr>
        <w:tblW w:w="16018" w:type="dxa"/>
        <w:tblInd w:w="-6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418"/>
        <w:gridCol w:w="1134"/>
        <w:gridCol w:w="992"/>
        <w:gridCol w:w="992"/>
        <w:gridCol w:w="2835"/>
        <w:gridCol w:w="850"/>
        <w:gridCol w:w="709"/>
        <w:gridCol w:w="992"/>
        <w:gridCol w:w="992"/>
        <w:gridCol w:w="1134"/>
        <w:gridCol w:w="568"/>
        <w:gridCol w:w="568"/>
        <w:gridCol w:w="849"/>
      </w:tblGrid>
      <w:tr>
        <w:trPr>
          <w:trHeight w:val="99"/>
        </w:trPr>
        <w:tc>
          <w:tcPr>
            <w:tcW w:w="99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 номер реестровой записи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54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(по справочникам)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98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(по справочникам)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439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качества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1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показателя качества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13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Допустимые  (возможные)  отклонения  от  установленных показателей качества государственной услуги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Результаты оценки степени значимости показателя качества государственной услуги (в баллах)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46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54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98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5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 год (очередной финансовый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год (1-й год планового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год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(2-й год планового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процентах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абсолютных показателях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55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ind w:right="-23"/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вание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ОКЕИ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outlineLvl w:val="0"/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21"/>
        </w:trPr>
        <w:tc>
          <w:tcPr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4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5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6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283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7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8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9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10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11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12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5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13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5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14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84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15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</w:tr>
      <w:tr>
        <w:trPr>
          <w:trHeight w:val="105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852101О.99.0.ББ29ГГ36000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13.01.07 Электромонтер по ремонту электросетей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583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8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550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54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852101О.99.0.ББ29ВЧ72000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13.01.01 Машинист котлов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54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852101О.99.0.ББ29СХ96002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15.01.31 Мастер контрольно-измерительных приборов и автоматики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1179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1548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</w:tbl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3.2. Показатели, характеризующие объем государственной услуги: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tbl>
      <w:tblPr>
        <w:tblW w:w="16302" w:type="dxa"/>
        <w:tblInd w:w="-789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276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>
        <w:trPr>
          <w:trHeight w:val="56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 номер реест-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ровой записи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(по справочникам)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(по справочникам)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объема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показателя объема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Размер платы (цена, тариф)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Допустимые  (возможные)  отклонения  от  установленных показателей объема государственной услуги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57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 год (очеред-ной финан-совый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025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планово-го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год (2-й год планово-го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024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(очеред-ной финан-совый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планово-го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(2-й год планово-го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процентах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абсолютных показателях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49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ind w:right="-23"/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наиме-нование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</w:t>
            </w:r>
            <w:hyperlink r:id="rId16" w:tooltip="consultantplus://offline/ref=DC41E2772540CE89436B920E86BEF4F9345B73C5B114AE3A8765A72052AFVDF" w:history="1">
              <w:r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21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11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12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13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14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2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852101О.99.0.ББ29ГГ36000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13.01.07 Электромонтер по ремонту электросетей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 xml:space="preserve">46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 xml:space="preserve">46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 xml:space="preserve">46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2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852101О.99.0.ББ29ВЧ72000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13.01.01 Машинист котлов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 xml:space="preserve">49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 xml:space="preserve">49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 xml:space="preserve">49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2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852101О.99.0.ББ29СХ96002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15.01.31 Мастер контрольно-измерительных приборов и автоматики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 xml:space="preserve">97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 xml:space="preserve">97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 xml:space="preserve">97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</w:tbl>
    <w:p>
      <w:pPr>
        <w:pStyle w:val="957"/>
        <w:jc w:val="center"/>
        <w:rPr>
          <w:rFonts w:ascii="Times New Roman" w:hAnsi="Times New Roman" w:cs="Times New Roman"/>
          <w:color w:val="ff0000"/>
          <w:sz w:val="4"/>
        </w:rPr>
      </w:pPr>
      <w:r>
        <w:rPr>
          <w:rFonts w:ascii="Times New Roman" w:hAnsi="Times New Roman" w:cs="Times New Roman"/>
          <w:color w:val="ff0000"/>
          <w:sz w:val="4"/>
        </w:rPr>
      </w:r>
      <w:r>
        <w:rPr>
          <w:rFonts w:ascii="Times New Roman" w:hAnsi="Times New Roman" w:cs="Times New Roman"/>
          <w:color w:val="ff0000"/>
          <w:sz w:val="4"/>
        </w:rPr>
      </w:r>
      <w:r>
        <w:rPr>
          <w:rFonts w:ascii="Times New Roman" w:hAnsi="Times New Roman" w:cs="Times New Roman"/>
          <w:color w:val="ff0000"/>
          <w:sz w:val="4"/>
        </w:rPr>
      </w:r>
    </w:p>
    <w:p>
      <w:pPr>
        <w:pStyle w:val="957"/>
        <w:jc w:val="center"/>
        <w:sectPr>
          <w:footnotePr/>
          <w:endnotePr/>
          <w:type w:val="nextPage"/>
          <w:pgSz w:w="16838" w:h="11906" w:orient="landscape"/>
          <w:pgMar w:top="709" w:right="567" w:bottom="851" w:left="1134" w:header="454" w:footer="720" w:gutter="0"/>
          <w:cols w:num="1" w:sep="0" w:space="720" w:equalWidth="1"/>
          <w:docGrid w:linePitch="360"/>
          <w:titlePg/>
        </w:sectPr>
      </w:pPr>
      <w:r/>
      <w:r/>
    </w:p>
    <w:p>
      <w:pPr>
        <w:pStyle w:val="957"/>
        <w:jc w:val="center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</w:r>
      <w:r>
        <w:rPr>
          <w:rFonts w:ascii="Times New Roman" w:hAnsi="Times New Roman" w:cs="Times New Roman"/>
          <w:szCs w:val="22"/>
        </w:rPr>
      </w:r>
      <w:r>
        <w:rPr>
          <w:rFonts w:ascii="Times New Roman" w:hAnsi="Times New Roman" w:cs="Times New Roman"/>
          <w:szCs w:val="22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 Нормативные правовые акты, устанавливающие размер платы (цену, тариф) либо порядок ее (его) установления: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tbl>
      <w:tblPr>
        <w:tblW w:w="0" w:type="auto"/>
        <w:tblInd w:w="62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>
        <w:trPr/>
        <w:tc>
          <w:tcPr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61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</w:r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вид </w:t>
            </w: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дата </w:t>
            </w: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номер </w:t>
            </w: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</w:r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1 </w:t>
            </w: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2 </w:t>
            </w: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3 </w:t>
            </w: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4 </w:t>
            </w: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5 </w:t>
            </w: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</w:r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  <w:outlineLvl w:val="0"/>
            </w:pP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5. Порядок оказания государственной услуги: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5.1. Нормативные правовые акты, регулирующие порядок оказания государственной услуги</w:t>
      </w:r>
      <w:r>
        <w:rPr>
          <w:rFonts w:ascii="Times New Roman" w:hAnsi="Times New Roman" w:cs="Times New Roman"/>
        </w:rPr>
        <w:t xml:space="preserve">: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>
        <w:trPr>
          <w:trHeight w:val="57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Федеральный закон от 29.12.2012 № 273-ФЗ «Об образовании в Российской Федерации»; </w:t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</w:p>
        </w:tc>
      </w:tr>
      <w:tr>
        <w:trPr>
          <w:trHeight w:val="71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Федеральный закон от 21.12.2021 № 414-ФЗ «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Об общих принципах организации публичной власти в субъектах Российской Федерации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»; </w:t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</w:p>
        </w:tc>
      </w:tr>
      <w:tr>
        <w:trPr>
          <w:trHeight w:val="73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Закон Новосибирской области от 05.07.2013 № 361-ОЗ «О регулировании отношений в сфере образования в Новосибирской области»;</w:t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</w:p>
        </w:tc>
      </w:tr>
      <w:tr>
        <w:trPr>
          <w:trHeight w:val="73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Приказ Минобрнауки РФ от 29.10.2013 № 1199 «Об утверждении перечней профессий и специальностей среднего профессионального образования»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.</w:t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</w:p>
        </w:tc>
      </w:tr>
      <w:tr>
        <w:trPr>
          <w:trHeight w:val="735"/>
        </w:trPr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1"/>
                <w:szCs w:val="21"/>
              </w:rPr>
              <w:t xml:space="preserve">Приказ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Министерства просвещен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ия Российской Федерации от 17.05.2022 № 336 «Об утверждении перечней профессий и специальностей среднего профессионального образования и установлении соответствия отдельных профессий и специальностей среднего профессионального образования, указанных в этих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перечнях, профессиям и 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специальностям среднего профессионального образования, перечни которых утверждены приказом министерства образования и науки Российской Федерации от 29.10.2013 №1199 «Об у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тверждении перечней профессий и 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специальностей среднего профессионального образования»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1"/>
                <w:szCs w:val="21"/>
              </w:rPr>
              <w:t xml:space="preserve">.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1"/>
                <w:szCs w:val="2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1"/>
                <w:szCs w:val="21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5.2.  Порядок  информирования  потенциальных  потребителей  государственной услуги: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tbl>
      <w:tblPr>
        <w:tblW w:w="0" w:type="auto"/>
        <w:tblInd w:w="6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>
        <w:trPr/>
        <w:tc>
          <w:tcPr>
            <w:tcW w:w="3193" w:type="dxa"/>
            <w:textDirection w:val="lrTb"/>
            <w:noWrap w:val="false"/>
          </w:tcPr>
          <w:p>
            <w:pPr>
              <w:pStyle w:val="963"/>
              <w:jc w:val="center"/>
              <w:rPr>
                <w:szCs w:val="22"/>
              </w:rPr>
            </w:pPr>
            <w:r>
              <w:rPr>
                <w:szCs w:val="22"/>
              </w:rPr>
              <w:t xml:space="preserve">Способ информирования </w:t>
            </w:r>
            <w:r>
              <w:rPr>
                <w:szCs w:val="22"/>
              </w:rPr>
            </w:r>
            <w:r>
              <w:rPr>
                <w:szCs w:val="22"/>
              </w:rPr>
            </w:r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63"/>
              <w:jc w:val="center"/>
              <w:rPr>
                <w:szCs w:val="22"/>
              </w:rPr>
            </w:pPr>
            <w:r>
              <w:rPr>
                <w:szCs w:val="22"/>
              </w:rPr>
              <w:t xml:space="preserve">Состав размещаемой информации </w:t>
            </w:r>
            <w:r>
              <w:rPr>
                <w:szCs w:val="22"/>
              </w:rPr>
            </w:r>
            <w:r>
              <w:rPr>
                <w:szCs w:val="22"/>
              </w:rPr>
            </w:r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63"/>
              <w:jc w:val="center"/>
              <w:rPr>
                <w:szCs w:val="22"/>
              </w:rPr>
            </w:pPr>
            <w:r>
              <w:rPr>
                <w:szCs w:val="22"/>
              </w:rPr>
              <w:t xml:space="preserve">Частота обновления информации </w:t>
            </w:r>
            <w:r>
              <w:rPr>
                <w:szCs w:val="22"/>
              </w:rPr>
            </w:r>
            <w:r>
              <w:rPr>
                <w:szCs w:val="22"/>
              </w:rPr>
            </w:r>
          </w:p>
        </w:tc>
      </w:tr>
      <w:tr>
        <w:trPr/>
        <w:tc>
          <w:tcPr>
            <w:tcW w:w="3193" w:type="dxa"/>
            <w:textDirection w:val="lrTb"/>
            <w:noWrap w:val="false"/>
          </w:tcPr>
          <w:p>
            <w:pPr>
              <w:pStyle w:val="963"/>
              <w:jc w:val="center"/>
              <w:rPr>
                <w:szCs w:val="22"/>
              </w:rPr>
            </w:pPr>
            <w:r>
              <w:rPr>
                <w:szCs w:val="22"/>
              </w:rPr>
              <w:t xml:space="preserve">1 </w:t>
            </w:r>
            <w:r>
              <w:rPr>
                <w:szCs w:val="22"/>
              </w:rPr>
            </w:r>
            <w:r>
              <w:rPr>
                <w:szCs w:val="22"/>
              </w:rPr>
            </w:r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63"/>
              <w:jc w:val="center"/>
              <w:rPr>
                <w:szCs w:val="22"/>
              </w:rPr>
            </w:pPr>
            <w:r>
              <w:rPr>
                <w:szCs w:val="22"/>
              </w:rPr>
              <w:t xml:space="preserve">2 </w:t>
            </w:r>
            <w:r>
              <w:rPr>
                <w:szCs w:val="22"/>
              </w:rPr>
            </w:r>
            <w:r>
              <w:rPr>
                <w:szCs w:val="22"/>
              </w:rPr>
            </w:r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63"/>
              <w:jc w:val="center"/>
              <w:rPr>
                <w:szCs w:val="22"/>
              </w:rPr>
            </w:pPr>
            <w:r>
              <w:rPr>
                <w:szCs w:val="22"/>
              </w:rPr>
              <w:t xml:space="preserve">3 </w:t>
            </w:r>
            <w:r>
              <w:rPr>
                <w:szCs w:val="22"/>
              </w:rPr>
            </w:r>
            <w:r>
              <w:rPr>
                <w:szCs w:val="22"/>
              </w:rPr>
            </w:r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Размещение информации на сайте профессиональной образовательной организации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соответствии с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Постановлением Правительства РФ от 20.10.2021 № 1802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"Об утверждении Правил размещения на официальном сайте образо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вательной организации в информационно-телекоммуникационной сети "Интернет" и обновления информации об образовательной организации, а также о признании утратившими силу некоторых актов и отдельных положений некоторых актов Правительства Российской Федерации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</w:r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Размещение информации в средствах массовой информации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</w:r>
          </w:p>
        </w:tc>
        <w:tc>
          <w:tcPr>
            <w:tcW w:w="31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необходимости обязательного предварительного медицинского осмотра; информация о наличии общежития; контактная информация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</w:r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Размещение информации в справочниках, буклетах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</w:r>
          </w:p>
        </w:tc>
        <w:tc>
          <w:tcPr>
            <w:tcW w:w="31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По мере необходимости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</w:r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Размещение информации на информационных стендах профессиональной 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образовательной организации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</w:r>
          </w:p>
        </w:tc>
        <w:tc>
          <w:tcPr>
            <w:tcW w:w="31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По мере необходимости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</w:r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Профориентационная работа в школах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</w:r>
          </w:p>
        </w:tc>
        <w:tc>
          <w:tcPr>
            <w:tcW w:w="31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</w:r>
          </w:p>
        </w:tc>
      </w:tr>
    </w:tbl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br w:type="page" w:clear="all"/>
      </w: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/>
      <w:bookmarkStart w:id="0" w:name="_GoBack"/>
      <w:r/>
      <w:bookmarkEnd w:id="0"/>
      <w:r>
        <w:rPr>
          <w:rFonts w:ascii="Times New Roman" w:hAnsi="Times New Roman" w:cs="Times New Roman"/>
          <w:sz w:val="20"/>
          <w:szCs w:val="20"/>
        </w:rPr>
        <w:t xml:space="preserve">Часть </w:t>
      </w:r>
      <w:r>
        <w:rPr>
          <w:rFonts w:ascii="Times New Roman" w:hAnsi="Times New Roman" w:cs="Times New Roman"/>
          <w:sz w:val="20"/>
          <w:szCs w:val="20"/>
          <w:lang w:val="en-US"/>
        </w:rPr>
        <w:t xml:space="preserve">III</w:t>
      </w:r>
      <w:r>
        <w:rPr>
          <w:rFonts w:ascii="Times New Roman" w:hAnsi="Times New Roman" w:cs="Times New Roman"/>
          <w:sz w:val="20"/>
          <w:szCs w:val="20"/>
        </w:rPr>
        <w:t xml:space="preserve">. Прочие сведения о государственном задании</w:t>
      </w: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pStyle w:val="957"/>
        <w:jc w:val="center"/>
      </w:pPr>
      <w:r/>
      <w:r/>
    </w:p>
    <w:p>
      <w:pPr>
        <w:pStyle w:val="957"/>
        <w:jc w:val="center"/>
      </w:pPr>
      <w:r/>
      <w:r/>
    </w:p>
    <w:p>
      <w:pPr>
        <w:pStyle w:val="956"/>
        <w:numPr>
          <w:ilvl w:val="0"/>
          <w:numId w:val="15"/>
        </w:numPr>
        <w:ind w:left="284" w:hanging="284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Основания (условия и порядок) для досрочного прекращения выполнения государственного задания 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</w:r>
      <w:r>
        <w:rPr>
          <w:rFonts w:ascii="Times New Roman" w:hAnsi="Times New Roman" w:eastAsia="Times New Roman" w:cs="Times New Roman"/>
          <w:color w:val="000000"/>
        </w:rPr>
      </w:r>
      <w:r>
        <w:rPr>
          <w:rFonts w:ascii="Times New Roman" w:hAnsi="Times New Roman" w:eastAsia="Times New Roman" w:cs="Times New Roman"/>
          <w:color w:val="000000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 xml:space="preserve">Выполнение государственного задания завершается по окончании финансового года. </w:t>
      </w:r>
      <w:r>
        <w:rPr>
          <w:rFonts w:ascii="Times New Roman" w:hAnsi="Times New Roman" w:eastAsia="Times New Roman" w:cs="Times New Roman"/>
          <w:color w:val="000000"/>
        </w:rPr>
      </w:r>
      <w:r>
        <w:rPr>
          <w:rFonts w:ascii="Times New Roman" w:hAnsi="Times New Roman" w:eastAsia="Times New Roman" w:cs="Times New Roman"/>
          <w:color w:val="000000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 xml:space="preserve">Досрочное прекращение государственного задания возможно при следующих условиях:</w:t>
      </w:r>
      <w:r>
        <w:rPr>
          <w:rFonts w:ascii="Times New Roman" w:hAnsi="Times New Roman" w:eastAsia="Times New Roman" w:cs="Times New Roman"/>
          <w:color w:val="000000"/>
        </w:rPr>
      </w:r>
      <w:r>
        <w:rPr>
          <w:rFonts w:ascii="Times New Roman" w:hAnsi="Times New Roman" w:eastAsia="Times New Roman" w:cs="Times New Roman"/>
          <w:color w:val="000000"/>
        </w:rPr>
      </w:r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 xml:space="preserve">- ликвидации, реорганизации профессионального образовательного учреждения;</w:t>
      </w:r>
      <w:r>
        <w:rPr>
          <w:rFonts w:ascii="Times New Roman" w:hAnsi="Times New Roman" w:eastAsia="Times New Roman" w:cs="Times New Roman"/>
          <w:color w:val="000000"/>
        </w:rPr>
      </w:r>
      <w:r>
        <w:rPr>
          <w:rFonts w:ascii="Times New Roman" w:hAnsi="Times New Roman" w:eastAsia="Times New Roman" w:cs="Times New Roman"/>
          <w:color w:val="000000"/>
        </w:rPr>
      </w:r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 xml:space="preserve">- исключение государственной услуги из Базового (отраслевого) или регионального перечня государственных услуг (работ);</w:t>
      </w:r>
      <w:r>
        <w:rPr>
          <w:rFonts w:ascii="Times New Roman" w:hAnsi="Times New Roman" w:eastAsia="Times New Roman" w:cs="Times New Roman"/>
          <w:color w:val="000000"/>
        </w:rPr>
      </w:r>
      <w:r>
        <w:rPr>
          <w:rFonts w:ascii="Times New Roman" w:hAnsi="Times New Roman" w:eastAsia="Times New Roman" w:cs="Times New Roman"/>
          <w:color w:val="000000"/>
        </w:rPr>
      </w:r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 xml:space="preserve">- иные основания, предусмотренные законодательством.</w:t>
      </w:r>
      <w:r>
        <w:rPr>
          <w:rFonts w:ascii="Times New Roman" w:hAnsi="Times New Roman" w:eastAsia="Times New Roman" w:cs="Times New Roman"/>
          <w:color w:val="000000"/>
        </w:rPr>
      </w:r>
      <w:r>
        <w:rPr>
          <w:rFonts w:ascii="Times New Roman" w:hAnsi="Times New Roman" w:eastAsia="Times New Roman" w:cs="Times New Roman"/>
          <w:color w:val="000000"/>
        </w:rPr>
      </w:r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</w:r>
      <w:r>
        <w:rPr>
          <w:rFonts w:ascii="Times New Roman" w:hAnsi="Times New Roman" w:eastAsia="Times New Roman" w:cs="Times New Roman"/>
          <w:color w:val="000000"/>
        </w:rPr>
      </w:r>
      <w:r>
        <w:rPr>
          <w:rFonts w:ascii="Times New Roman" w:hAnsi="Times New Roman" w:eastAsia="Times New Roman" w:cs="Times New Roman"/>
          <w:color w:val="000000"/>
        </w:rPr>
      </w:r>
    </w:p>
    <w:p>
      <w:pPr>
        <w:pStyle w:val="957"/>
        <w:spacing w:line="360" w:lineRule="auto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2.  Иная информация, необходимая для выполнения (контроля за выполнением)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957"/>
        <w:spacing w:line="360" w:lineRule="auto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государственного задания 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jc w:val="both"/>
        <w:spacing w:after="0" w:line="240" w:lineRule="auto"/>
        <w:rPr>
          <w:rFonts w:ascii="Times New Roman" w:hAnsi="Times New Roman" w:eastAsia="Calibri" w:cs="Times New Roman"/>
        </w:rPr>
      </w:pPr>
      <w:r>
        <w:rPr>
          <w:rFonts w:ascii="Times New Roman" w:hAnsi="Times New Roman" w:eastAsia="Calibri" w:cs="Times New Roman"/>
        </w:rPr>
        <w:t xml:space="preserve">Иная информация не требуется.</w:t>
      </w:r>
      <w:r>
        <w:rPr>
          <w:rFonts w:ascii="Times New Roman" w:hAnsi="Times New Roman" w:eastAsia="Calibri" w:cs="Times New Roman"/>
        </w:rPr>
      </w:r>
      <w:r>
        <w:rPr>
          <w:rFonts w:ascii="Times New Roman" w:hAnsi="Times New Roman" w:eastAsia="Calibri" w:cs="Times New Roman"/>
        </w:rPr>
      </w:r>
    </w:p>
    <w:p>
      <w:pPr>
        <w:pStyle w:val="957"/>
        <w:spacing w:line="360" w:lineRule="auto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957"/>
        <w:spacing w:line="360" w:lineRule="auto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3. Порядок контроля за выполнением государственного задания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tbl>
      <w:tblPr>
        <w:tblW w:w="0" w:type="auto"/>
        <w:tblInd w:w="6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12"/>
      </w:tblGrid>
      <w:tr>
        <w:trPr/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Форма контроля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Периодичность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Органы исполнительной власти Новосибирской области, осуществляющие контроль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 выполнением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государственного задания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/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/>
        <w:tc>
          <w:tcPr>
            <w:tcW w:w="321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color w:val="000000"/>
              </w:rPr>
              <w:t xml:space="preserve">Профессиональное образовательное учреждение </w:t>
            </w:r>
            <w:r>
              <w:rPr>
                <w:rFonts w:ascii="Times New Roman" w:hAnsi="Times New Roman" w:eastAsia="Calibri" w:cs="Times New Roman"/>
              </w:rPr>
              <w:t xml:space="preserve">предоставляет отчет об исполнении государственного задания по форме, утвержденной постановлением Правительства Новосибирской области от 23.11.2015 № 406-п</w:t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tcW w:w="321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Ежеквартально, до 10 числа месяца, следующего за отчетным кварталом</w:t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tcW w:w="321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Министерство образования Новосибирской области</w:t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</w:tr>
    </w:tbl>
    <w:p>
      <w:pPr>
        <w:pStyle w:val="957"/>
        <w:spacing w:line="480" w:lineRule="auto"/>
        <w:rPr>
          <w:lang w:val="en-US"/>
        </w:rPr>
      </w:pPr>
      <w:r>
        <w:rPr>
          <w:lang w:val="en-US"/>
        </w:rPr>
      </w:r>
      <w:r>
        <w:rPr>
          <w:lang w:val="en-US"/>
        </w:rPr>
      </w:r>
      <w:r>
        <w:rPr>
          <w:lang w:val="en-US"/>
        </w:rPr>
      </w:r>
    </w:p>
    <w:p>
      <w:pPr>
        <w:pStyle w:val="957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4.</w:t>
      </w:r>
      <w:r>
        <w:rPr>
          <w:color w:val="000000" w:themeColor="text1"/>
          <w:sz w:val="22"/>
          <w:szCs w:val="22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Требования к отчетности о выполнении государственного задания: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  <w:t xml:space="preserve">4.1. Периодичность  представления  отчетов  о  выполнении государственного задания:</w:t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r>
    </w:p>
    <w:p>
      <w:pPr>
        <w:pStyle w:val="957"/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  <w:t xml:space="preserve">Ежеквартально.</w:t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r>
    </w:p>
    <w:p>
      <w:pPr>
        <w:pStyle w:val="957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57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4.2. Сроки представления отчетов о выполнении государственного задания: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57"/>
        <w:ind w:left="0" w:firstLine="0"/>
        <w:jc w:val="both"/>
        <w:rPr>
          <w:rFonts w:ascii="Times New Roman" w:hAnsi="Times New Roman" w:eastAsia="Calibri" w:cs="Times New Roman"/>
          <w:color w:val="000000" w:themeColor="text1"/>
          <w:sz w:val="22"/>
          <w:szCs w:val="22"/>
          <w:highlight w:val="none"/>
        </w:rPr>
      </w:pP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- ежеквартально до 10 числа месяца, следующего за отчётным, по итогам года - до 20 января года, 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следующего за отчетным;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  <w:highlight w:val="none"/>
        </w:rPr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  <w:highlight w:val="none"/>
        </w:rPr>
      </w:r>
    </w:p>
    <w:p>
      <w:pPr>
        <w:pStyle w:val="957"/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  <w:t xml:space="preserve">- представление</w:t>
      </w:r>
      <w:r>
        <w:rPr>
          <w:rFonts w:ascii="Times New Roman" w:hAnsi="Times New Roman" w:cs="Times New Roman"/>
          <w:sz w:val="22"/>
          <w:szCs w:val="22"/>
        </w:rPr>
        <w:t xml:space="preserve"> предварительного отчета о выполнении государственного задания - </w:t>
      </w:r>
      <w:r>
        <w:rPr>
          <w:rFonts w:ascii="Times New Roman" w:hAnsi="Times New Roman" w:cs="Times New Roman"/>
          <w:sz w:val="22"/>
          <w:szCs w:val="22"/>
        </w:rPr>
        <w:t xml:space="preserve">не позднее 1 ноября отчетного года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.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</w:p>
    <w:p>
      <w:pPr>
        <w:pStyle w:val="957"/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</w:p>
    <w:p>
      <w:pPr>
        <w:pStyle w:val="957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4.3. Иные требования к отчетности о выполнении государственного задания: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57"/>
        <w:jc w:val="both"/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Отчет предоставляется в электронном виде и на бумажном носителе, заверенный подписью руководителя государственного образовательного учреждения и печатью учреждения.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</w:p>
    <w:p>
      <w:pPr>
        <w:pStyle w:val="957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57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5. Иные показатели, связанные с выполнением государственного задания: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57"/>
        <w:rPr>
          <w:color w:val="000000" w:themeColor="text1"/>
          <w:sz w:val="22"/>
          <w:szCs w:val="22"/>
        </w:rPr>
      </w:pP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  <w:t xml:space="preserve">Иные показатели не требуются.</w:t>
      </w:r>
      <w:r>
        <w:rPr>
          <w:color w:val="000000" w:themeColor="text1"/>
          <w:sz w:val="22"/>
          <w:szCs w:val="22"/>
        </w:rPr>
      </w:r>
      <w:r>
        <w:rPr>
          <w:color w:val="000000" w:themeColor="text1"/>
          <w:sz w:val="22"/>
          <w:szCs w:val="22"/>
        </w:rPr>
      </w:r>
    </w:p>
    <w:p>
      <w:pPr>
        <w:pStyle w:val="957"/>
        <w:rPr>
          <w:sz w:val="28"/>
          <w:lang w:val="en-US"/>
        </w:rPr>
      </w:pPr>
      <w:r>
        <w:rPr>
          <w:sz w:val="28"/>
          <w:lang w:val="en-US"/>
        </w:rPr>
      </w:r>
      <w:r>
        <w:rPr>
          <w:sz w:val="28"/>
          <w:lang w:val="en-US"/>
        </w:rPr>
      </w:r>
      <w:r>
        <w:rPr>
          <w:sz w:val="28"/>
          <w:lang w:val="en-US"/>
        </w:rPr>
      </w:r>
    </w:p>
    <w:p>
      <w:pPr>
        <w:pStyle w:val="957"/>
        <w:rPr>
          <w:sz w:val="28"/>
          <w:lang w:val="en-US"/>
        </w:rPr>
      </w:pPr>
      <w:r>
        <w:rPr>
          <w:sz w:val="28"/>
          <w:lang w:val="en-US"/>
        </w:rPr>
      </w:r>
      <w:r>
        <w:rPr>
          <w:sz w:val="28"/>
          <w:lang w:val="en-US"/>
        </w:rPr>
      </w:r>
    </w:p>
    <w:sectPr>
      <w:headerReference w:type="default" r:id="rId11"/>
      <w:footnotePr/>
      <w:endnotePr/>
      <w:type w:val="nextPage"/>
      <w:pgSz w:w="11906" w:h="16838" w:orient="portrait"/>
      <w:pgMar w:top="1134" w:right="567" w:bottom="1134" w:left="1418" w:header="720" w:footer="72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Wingdings">
    <w:panose1 w:val="05010000000000000000"/>
  </w:font>
  <w:font w:name="Symbol">
    <w:panose1 w:val="05010000000000000000"/>
  </w:font>
  <w:font w:name="Times New Roman">
    <w:panose1 w:val="02020603050405020304"/>
  </w:font>
  <w:font w:name="Courier New">
    <w:panose1 w:val="020703090202050204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441677891"/>
      <w:docPartObj>
        <w:docPartGallery w:val="Page Numbers (Bottom of Page)"/>
        <w:docPartUnique w:val="true"/>
      </w:docPartObj>
      <w:rPr/>
    </w:sdtPr>
    <w:sdtContent>
      <w:p>
        <w:pPr>
          <w:pStyle w:val="960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 xml:space="preserve">19</w:t>
        </w:r>
        <w:r>
          <w:fldChar w:fldCharType="end"/>
        </w:r>
        <w:r/>
      </w:p>
    </w:sdtContent>
  </w:sdt>
  <w:p>
    <w:pPr>
      <w:pStyle w:val="960"/>
    </w:pPr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441677890"/>
      <w:docPartObj>
        <w:docPartGallery w:val="Page Numbers (Bottom of Page)"/>
        <w:docPartUnique w:val="true"/>
      </w:docPartObj>
      <w:rPr/>
    </w:sdtPr>
    <w:sdtContent>
      <w:p>
        <w:pPr>
          <w:pStyle w:val="960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 xml:space="preserve">14</w:t>
        </w:r>
        <w:r>
          <w:fldChar w:fldCharType="end"/>
        </w:r>
        <w:r/>
      </w:p>
    </w:sdtContent>
  </w:sdt>
  <w:p>
    <w:pPr>
      <w:pStyle w:val="960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58"/>
      <w:jc w:val="center"/>
    </w:pPr>
    <w:r/>
    <w:r/>
  </w:p>
  <w:p>
    <w:pPr>
      <w:pStyle w:val="958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1980110020"/>
      <w:docPartObj>
        <w:docPartGallery w:val="Page Numbers (Top of Page)"/>
        <w:docPartUnique w:val="true"/>
      </w:docPartObj>
      <w:rPr/>
    </w:sdtPr>
    <w:sdtContent>
      <w:p>
        <w:pPr>
          <w:pStyle w:val="958"/>
          <w:jc w:val="center"/>
          <w:rPr>
            <w:rFonts w:ascii="Times New Roman" w:hAnsi="Times New Roman" w:cs="Times New Roman"/>
            <w:sz w:val="20"/>
          </w:rPr>
        </w:pPr>
        <w:r>
          <w:rPr>
            <w:rFonts w:ascii="Times New Roman" w:hAnsi="Times New Roman" w:cs="Times New Roman"/>
            <w:sz w:val="20"/>
          </w:rPr>
        </w:r>
        <w:r>
          <w:rPr>
            <w:rFonts w:ascii="Times New Roman" w:hAnsi="Times New Roman" w:cs="Times New Roman"/>
            <w:sz w:val="20"/>
          </w:rPr>
        </w:r>
        <w:r>
          <w:rPr>
            <w:rFonts w:ascii="Times New Roman" w:hAnsi="Times New Roman" w:cs="Times New Roman"/>
            <w:sz w:val="20"/>
          </w:rPr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58"/>
      <w:jc w:val="center"/>
      <w:rPr>
        <w:rFonts w:ascii="Times New Roman" w:hAnsi="Times New Roman" w:cs="Times New Roman"/>
        <w:sz w:val="20"/>
      </w:rPr>
    </w:pPr>
    <w:r>
      <w:rPr>
        <w:rFonts w:ascii="Times New Roman" w:hAnsi="Times New Roman" w:cs="Times New Roman"/>
        <w:sz w:val="20"/>
      </w:rPr>
    </w:r>
    <w:r>
      <w:rPr>
        <w:rFonts w:ascii="Times New Roman" w:hAnsi="Times New Roman" w:cs="Times New Roman"/>
        <w:sz w:val="20"/>
      </w:rPr>
    </w:r>
    <w:r>
      <w:rPr>
        <w:rFonts w:ascii="Times New Roman" w:hAnsi="Times New Roman" w:cs="Times New Roman"/>
        <w:sz w:val="20"/>
      </w:rPr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5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5" w:hanging="180"/>
      </w:pPr>
    </w:lvl>
  </w:abstractNum>
  <w:abstractNum w:abstractNumId="3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5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744" w:hanging="1035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9">
    <w:multiLevelType w:val="hybridMultilevel"/>
    <w:lvl w:ilvl="0">
      <w:start w:val="2"/>
      <w:numFmt w:val="decimal"/>
      <w:isLgl w:val="false"/>
      <w:suff w:val="tab"/>
      <w:lvlText w:val="3.%1."/>
      <w:legacy w:legacy="1" w:legacyIndent="864" w:legacySpace="0"/>
      <w:lvlJc w:val="left"/>
      <w:pPr/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2.%1."/>
      <w:legacy w:legacy="1" w:legacyIndent="869" w:legacySpace="0"/>
      <w:lvlJc w:val="left"/>
      <w:pPr/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1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42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2"/>
  </w:num>
  <w:num w:numId="5">
    <w:abstractNumId w:val="1"/>
  </w:num>
  <w:num w:numId="6">
    <w:abstractNumId w:val="8"/>
  </w:num>
  <w:num w:numId="7">
    <w:abstractNumId w:val="14"/>
  </w:num>
  <w:num w:numId="8">
    <w:abstractNumId w:val="12"/>
  </w:num>
  <w:num w:numId="9">
    <w:abstractNumId w:val="13"/>
  </w:num>
  <w:num w:numId="10">
    <w:abstractNumId w:val="7"/>
  </w:num>
  <w:num w:numId="11">
    <w:abstractNumId w:val="6"/>
  </w:num>
  <w:num w:numId="12">
    <w:abstractNumId w:val="11"/>
  </w:num>
  <w:num w:numId="13">
    <w:abstractNumId w:val="5"/>
  </w:num>
  <w:num w:numId="14">
    <w:abstractNumId w:val="3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useFELayout w:val="true"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EastAsia" w:cstheme="minorBidi"/>
        <w:sz w:val="22"/>
        <w:szCs w:val="22"/>
        <w:lang w:val="ru-RU" w:eastAsia="ru-RU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76">
    <w:name w:val="Heading 1"/>
    <w:basedOn w:val="949"/>
    <w:next w:val="949"/>
    <w:link w:val="77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77">
    <w:name w:val="Heading 1 Char"/>
    <w:basedOn w:val="950"/>
    <w:link w:val="776"/>
    <w:uiPriority w:val="9"/>
    <w:rPr>
      <w:rFonts w:ascii="Arial" w:hAnsi="Arial" w:eastAsia="Arial" w:cs="Arial"/>
      <w:sz w:val="40"/>
      <w:szCs w:val="40"/>
    </w:rPr>
  </w:style>
  <w:style w:type="paragraph" w:styleId="778">
    <w:name w:val="Heading 2"/>
    <w:basedOn w:val="949"/>
    <w:next w:val="949"/>
    <w:link w:val="77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79">
    <w:name w:val="Heading 2 Char"/>
    <w:basedOn w:val="950"/>
    <w:link w:val="778"/>
    <w:uiPriority w:val="9"/>
    <w:rPr>
      <w:rFonts w:ascii="Arial" w:hAnsi="Arial" w:eastAsia="Arial" w:cs="Arial"/>
      <w:sz w:val="34"/>
    </w:rPr>
  </w:style>
  <w:style w:type="paragraph" w:styleId="780">
    <w:name w:val="Heading 3"/>
    <w:basedOn w:val="949"/>
    <w:next w:val="949"/>
    <w:link w:val="78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81">
    <w:name w:val="Heading 3 Char"/>
    <w:basedOn w:val="950"/>
    <w:link w:val="780"/>
    <w:uiPriority w:val="9"/>
    <w:rPr>
      <w:rFonts w:ascii="Arial" w:hAnsi="Arial" w:eastAsia="Arial" w:cs="Arial"/>
      <w:sz w:val="30"/>
      <w:szCs w:val="30"/>
    </w:rPr>
  </w:style>
  <w:style w:type="paragraph" w:styleId="782">
    <w:name w:val="Heading 4"/>
    <w:basedOn w:val="949"/>
    <w:next w:val="949"/>
    <w:link w:val="78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83">
    <w:name w:val="Heading 4 Char"/>
    <w:basedOn w:val="950"/>
    <w:link w:val="782"/>
    <w:uiPriority w:val="9"/>
    <w:rPr>
      <w:rFonts w:ascii="Arial" w:hAnsi="Arial" w:eastAsia="Arial" w:cs="Arial"/>
      <w:b/>
      <w:bCs/>
      <w:sz w:val="26"/>
      <w:szCs w:val="26"/>
    </w:rPr>
  </w:style>
  <w:style w:type="paragraph" w:styleId="784">
    <w:name w:val="Heading 5"/>
    <w:basedOn w:val="949"/>
    <w:next w:val="949"/>
    <w:link w:val="78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85">
    <w:name w:val="Heading 5 Char"/>
    <w:basedOn w:val="950"/>
    <w:link w:val="784"/>
    <w:uiPriority w:val="9"/>
    <w:rPr>
      <w:rFonts w:ascii="Arial" w:hAnsi="Arial" w:eastAsia="Arial" w:cs="Arial"/>
      <w:b/>
      <w:bCs/>
      <w:sz w:val="24"/>
      <w:szCs w:val="24"/>
    </w:rPr>
  </w:style>
  <w:style w:type="paragraph" w:styleId="786">
    <w:name w:val="Heading 6"/>
    <w:basedOn w:val="949"/>
    <w:next w:val="949"/>
    <w:link w:val="78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87">
    <w:name w:val="Heading 6 Char"/>
    <w:basedOn w:val="950"/>
    <w:link w:val="786"/>
    <w:uiPriority w:val="9"/>
    <w:rPr>
      <w:rFonts w:ascii="Arial" w:hAnsi="Arial" w:eastAsia="Arial" w:cs="Arial"/>
      <w:b/>
      <w:bCs/>
      <w:sz w:val="22"/>
      <w:szCs w:val="22"/>
    </w:rPr>
  </w:style>
  <w:style w:type="paragraph" w:styleId="788">
    <w:name w:val="Heading 7"/>
    <w:basedOn w:val="949"/>
    <w:next w:val="949"/>
    <w:link w:val="78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89">
    <w:name w:val="Heading 7 Char"/>
    <w:basedOn w:val="950"/>
    <w:link w:val="78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90">
    <w:name w:val="Heading 8"/>
    <w:basedOn w:val="949"/>
    <w:next w:val="949"/>
    <w:link w:val="79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91">
    <w:name w:val="Heading 8 Char"/>
    <w:basedOn w:val="950"/>
    <w:link w:val="790"/>
    <w:uiPriority w:val="9"/>
    <w:rPr>
      <w:rFonts w:ascii="Arial" w:hAnsi="Arial" w:eastAsia="Arial" w:cs="Arial"/>
      <w:i/>
      <w:iCs/>
      <w:sz w:val="22"/>
      <w:szCs w:val="22"/>
    </w:rPr>
  </w:style>
  <w:style w:type="paragraph" w:styleId="792">
    <w:name w:val="Heading 9"/>
    <w:basedOn w:val="949"/>
    <w:next w:val="949"/>
    <w:link w:val="79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93">
    <w:name w:val="Heading 9 Char"/>
    <w:basedOn w:val="950"/>
    <w:link w:val="792"/>
    <w:uiPriority w:val="9"/>
    <w:rPr>
      <w:rFonts w:ascii="Arial" w:hAnsi="Arial" w:eastAsia="Arial" w:cs="Arial"/>
      <w:i/>
      <w:iCs/>
      <w:sz w:val="21"/>
      <w:szCs w:val="21"/>
    </w:rPr>
  </w:style>
  <w:style w:type="paragraph" w:styleId="794">
    <w:name w:val="No Spacing"/>
    <w:uiPriority w:val="1"/>
    <w:qFormat/>
    <w:pPr>
      <w:spacing w:before="0" w:after="0" w:line="240" w:lineRule="auto"/>
    </w:pPr>
  </w:style>
  <w:style w:type="paragraph" w:styleId="795">
    <w:name w:val="Title"/>
    <w:basedOn w:val="949"/>
    <w:next w:val="949"/>
    <w:link w:val="796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96">
    <w:name w:val="Title Char"/>
    <w:basedOn w:val="950"/>
    <w:link w:val="795"/>
    <w:uiPriority w:val="10"/>
    <w:rPr>
      <w:sz w:val="48"/>
      <w:szCs w:val="48"/>
    </w:rPr>
  </w:style>
  <w:style w:type="paragraph" w:styleId="797">
    <w:name w:val="Subtitle"/>
    <w:basedOn w:val="949"/>
    <w:next w:val="949"/>
    <w:link w:val="798"/>
    <w:uiPriority w:val="11"/>
    <w:qFormat/>
    <w:pPr>
      <w:spacing w:before="200" w:after="200"/>
    </w:pPr>
    <w:rPr>
      <w:sz w:val="24"/>
      <w:szCs w:val="24"/>
    </w:rPr>
  </w:style>
  <w:style w:type="character" w:styleId="798">
    <w:name w:val="Subtitle Char"/>
    <w:basedOn w:val="950"/>
    <w:link w:val="797"/>
    <w:uiPriority w:val="11"/>
    <w:rPr>
      <w:sz w:val="24"/>
      <w:szCs w:val="24"/>
    </w:rPr>
  </w:style>
  <w:style w:type="paragraph" w:styleId="799">
    <w:name w:val="Quote"/>
    <w:basedOn w:val="949"/>
    <w:next w:val="949"/>
    <w:link w:val="800"/>
    <w:uiPriority w:val="29"/>
    <w:qFormat/>
    <w:pPr>
      <w:ind w:left="720" w:right="720"/>
    </w:pPr>
    <w:rPr>
      <w:i/>
    </w:rPr>
  </w:style>
  <w:style w:type="character" w:styleId="800">
    <w:name w:val="Quote Char"/>
    <w:link w:val="799"/>
    <w:uiPriority w:val="29"/>
    <w:rPr>
      <w:i/>
    </w:rPr>
  </w:style>
  <w:style w:type="paragraph" w:styleId="801">
    <w:name w:val="Intense Quote"/>
    <w:basedOn w:val="949"/>
    <w:next w:val="949"/>
    <w:link w:val="802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802">
    <w:name w:val="Intense Quote Char"/>
    <w:link w:val="801"/>
    <w:uiPriority w:val="30"/>
    <w:rPr>
      <w:i/>
    </w:rPr>
  </w:style>
  <w:style w:type="character" w:styleId="803">
    <w:name w:val="Header Char"/>
    <w:basedOn w:val="950"/>
    <w:link w:val="958"/>
    <w:uiPriority w:val="99"/>
  </w:style>
  <w:style w:type="character" w:styleId="804">
    <w:name w:val="Footer Char"/>
    <w:basedOn w:val="950"/>
    <w:link w:val="960"/>
    <w:uiPriority w:val="99"/>
  </w:style>
  <w:style w:type="paragraph" w:styleId="805">
    <w:name w:val="Caption"/>
    <w:basedOn w:val="949"/>
    <w:next w:val="949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806">
    <w:name w:val="Caption Char"/>
    <w:basedOn w:val="805"/>
    <w:link w:val="960"/>
    <w:uiPriority w:val="99"/>
  </w:style>
  <w:style w:type="table" w:styleId="807">
    <w:name w:val="Table Grid Light"/>
    <w:basedOn w:val="95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08">
    <w:name w:val="Plain Table 1"/>
    <w:basedOn w:val="95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09">
    <w:name w:val="Plain Table 2"/>
    <w:basedOn w:val="95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10">
    <w:name w:val="Plain Table 3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811">
    <w:name w:val="Plain Table 4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>
    <w:name w:val="Plain Table 5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813">
    <w:name w:val="Grid Table 1 Light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>
    <w:name w:val="Grid Table 1 Light - Accent 1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Grid Table 1 Light - Accent 2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Grid Table 1 Light - Accent 3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Grid Table 1 Light - Accent 4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Grid Table 1 Light - Accent 5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Grid Table 1 Light - Accent 6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Grid Table 2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1">
    <w:name w:val="Grid Table 2 - Accent 1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2">
    <w:name w:val="Grid Table 2 - Accent 2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3">
    <w:name w:val="Grid Table 2 - Accent 3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4">
    <w:name w:val="Grid Table 2 - Accent 4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5">
    <w:name w:val="Grid Table 2 - Accent 5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6">
    <w:name w:val="Grid Table 2 - Accent 6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7">
    <w:name w:val="Grid Table 3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8">
    <w:name w:val="Grid Table 3 - Accent 1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9">
    <w:name w:val="Grid Table 3 - Accent 2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0">
    <w:name w:val="Grid Table 3 - Accent 3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1">
    <w:name w:val="Grid Table 3 - Accent 4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2">
    <w:name w:val="Grid Table 3 - Accent 5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3">
    <w:name w:val="Grid Table 3 - Accent 6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4">
    <w:name w:val="Grid Table 4"/>
    <w:basedOn w:val="95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35">
    <w:name w:val="Grid Table 4 - Accent 1"/>
    <w:basedOn w:val="95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836">
    <w:name w:val="Grid Table 4 - Accent 2"/>
    <w:basedOn w:val="95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837">
    <w:name w:val="Grid Table 4 - Accent 3"/>
    <w:basedOn w:val="95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38">
    <w:name w:val="Grid Table 4 - Accent 4"/>
    <w:basedOn w:val="95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39">
    <w:name w:val="Grid Table 4 - Accent 5"/>
    <w:basedOn w:val="95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40">
    <w:name w:val="Grid Table 4 - Accent 6"/>
    <w:basedOn w:val="95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41">
    <w:name w:val="Grid Table 5 Dark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2">
    <w:name w:val="Grid Table 5 Dark- Accent 1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43">
    <w:name w:val="Grid Table 5 Dark - Accent 2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44">
    <w:name w:val="Grid Table 5 Dark - Accent 3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45">
    <w:name w:val="Grid Table 5 Dark- Accent 4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46">
    <w:name w:val="Grid Table 5 Dark - Accent 5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47">
    <w:name w:val="Grid Table 5 Dark - Accent 6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48">
    <w:name w:val="Grid Table 6 Colorful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49">
    <w:name w:val="Grid Table 6 Colorful - Accent 1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50">
    <w:name w:val="Grid Table 6 Colorful - Accent 2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51">
    <w:name w:val="Grid Table 6 Colorful - Accent 3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52">
    <w:name w:val="Grid Table 6 Colorful - Accent 4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53">
    <w:name w:val="Grid Table 6 Colorful - Accent 5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54">
    <w:name w:val="Grid Table 6 Colorful - Accent 6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55">
    <w:name w:val="Grid Table 7 Colorful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6">
    <w:name w:val="Grid Table 7 Colorful - Accent 1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7">
    <w:name w:val="Grid Table 7 Colorful - Accent 2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8">
    <w:name w:val="Grid Table 7 Colorful - Accent 3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9">
    <w:name w:val="Grid Table 7 Colorful - Accent 4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0">
    <w:name w:val="Grid Table 7 Colorful - Accent 5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1">
    <w:name w:val="Grid Table 7 Colorful - Accent 6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2">
    <w:name w:val="List Table 1 Light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3">
    <w:name w:val="List Table 1 Light - Accent 1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4">
    <w:name w:val="List Table 1 Light - Accent 2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5">
    <w:name w:val="List Table 1 Light - Accent 3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6">
    <w:name w:val="List Table 1 Light - Accent 4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7">
    <w:name w:val="List Table 1 Light - Accent 5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8">
    <w:name w:val="List Table 1 Light - Accent 6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9">
    <w:name w:val="List Table 2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70">
    <w:name w:val="List Table 2 - Accent 1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71">
    <w:name w:val="List Table 2 - Accent 2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72">
    <w:name w:val="List Table 2 - Accent 3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73">
    <w:name w:val="List Table 2 - Accent 4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74">
    <w:name w:val="List Table 2 - Accent 5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75">
    <w:name w:val="List Table 2 - Accent 6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76">
    <w:name w:val="List Table 3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7">
    <w:name w:val="List Table 3 - Accent 1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8">
    <w:name w:val="List Table 3 - Accent 2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9">
    <w:name w:val="List Table 3 - Accent 3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0">
    <w:name w:val="List Table 3 - Accent 4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1">
    <w:name w:val="List Table 3 - Accent 5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2">
    <w:name w:val="List Table 3 - Accent 6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3">
    <w:name w:val="List Table 4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4">
    <w:name w:val="List Table 4 - Accent 1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5">
    <w:name w:val="List Table 4 - Accent 2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6">
    <w:name w:val="List Table 4 - Accent 3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7">
    <w:name w:val="List Table 4 - Accent 4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8">
    <w:name w:val="List Table 4 - Accent 5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9">
    <w:name w:val="List Table 4 - Accent 6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0">
    <w:name w:val="List Table 5 Dark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1">
    <w:name w:val="List Table 5 Dark - Accent 1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2">
    <w:name w:val="List Table 5 Dark - Accent 2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3">
    <w:name w:val="List Table 5 Dark - Accent 3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4">
    <w:name w:val="List Table 5 Dark - Accent 4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5">
    <w:name w:val="List Table 5 Dark - Accent 5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6">
    <w:name w:val="List Table 5 Dark - Accent 6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7">
    <w:name w:val="List Table 6 Colorful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98">
    <w:name w:val="List Table 6 Colorful - Accent 1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99">
    <w:name w:val="List Table 6 Colorful - Accent 2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900">
    <w:name w:val="List Table 6 Colorful - Accent 3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901">
    <w:name w:val="List Table 6 Colorful - Accent 4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902">
    <w:name w:val="List Table 6 Colorful - Accent 5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903">
    <w:name w:val="List Table 6 Colorful - Accent 6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904">
    <w:name w:val="List Table 7 Colorful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905">
    <w:name w:val="List Table 7 Colorful - Accent 1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906">
    <w:name w:val="List Table 7 Colorful - Accent 2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907">
    <w:name w:val="List Table 7 Colorful - Accent 3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908">
    <w:name w:val="List Table 7 Colorful - Accent 4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909">
    <w:name w:val="List Table 7 Colorful - Accent 5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910">
    <w:name w:val="List Table 7 Colorful - Accent 6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911">
    <w:name w:val="Lined - Accent"/>
    <w:basedOn w:val="9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12">
    <w:name w:val="Lined - Accent 1"/>
    <w:basedOn w:val="9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913">
    <w:name w:val="Lined - Accent 2"/>
    <w:basedOn w:val="9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914">
    <w:name w:val="Lined - Accent 3"/>
    <w:basedOn w:val="9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915">
    <w:name w:val="Lined - Accent 4"/>
    <w:basedOn w:val="9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916">
    <w:name w:val="Lined - Accent 5"/>
    <w:basedOn w:val="9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917">
    <w:name w:val="Lined - Accent 6"/>
    <w:basedOn w:val="9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918">
    <w:name w:val="Bordered &amp; Lined - Accent"/>
    <w:basedOn w:val="9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19">
    <w:name w:val="Bordered &amp; Lined - Accent 1"/>
    <w:basedOn w:val="9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920">
    <w:name w:val="Bordered &amp; Lined - Accent 2"/>
    <w:basedOn w:val="9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921">
    <w:name w:val="Bordered &amp; Lined - Accent 3"/>
    <w:basedOn w:val="9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922">
    <w:name w:val="Bordered &amp; Lined - Accent 4"/>
    <w:basedOn w:val="9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923">
    <w:name w:val="Bordered &amp; Lined - Accent 5"/>
    <w:basedOn w:val="9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924">
    <w:name w:val="Bordered &amp; Lined - Accent 6"/>
    <w:basedOn w:val="9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925">
    <w:name w:val="Bordered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926">
    <w:name w:val="Bordered - Accent 1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927">
    <w:name w:val="Bordered - Accent 2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928">
    <w:name w:val="Bordered - Accent 3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929">
    <w:name w:val="Bordered - Accent 4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930">
    <w:name w:val="Bordered - Accent 5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931">
    <w:name w:val="Bordered - Accent 6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932">
    <w:name w:val="footnote text"/>
    <w:basedOn w:val="949"/>
    <w:link w:val="933"/>
    <w:uiPriority w:val="99"/>
    <w:semiHidden/>
    <w:unhideWhenUsed/>
    <w:pPr>
      <w:spacing w:after="40" w:line="240" w:lineRule="auto"/>
    </w:pPr>
    <w:rPr>
      <w:sz w:val="18"/>
    </w:rPr>
  </w:style>
  <w:style w:type="character" w:styleId="933">
    <w:name w:val="Footnote Text Char"/>
    <w:link w:val="932"/>
    <w:uiPriority w:val="99"/>
    <w:rPr>
      <w:sz w:val="18"/>
    </w:rPr>
  </w:style>
  <w:style w:type="character" w:styleId="934">
    <w:name w:val="footnote reference"/>
    <w:basedOn w:val="950"/>
    <w:uiPriority w:val="99"/>
    <w:unhideWhenUsed/>
    <w:rPr>
      <w:vertAlign w:val="superscript"/>
    </w:rPr>
  </w:style>
  <w:style w:type="paragraph" w:styleId="935">
    <w:name w:val="endnote text"/>
    <w:basedOn w:val="949"/>
    <w:link w:val="936"/>
    <w:uiPriority w:val="99"/>
    <w:semiHidden/>
    <w:unhideWhenUsed/>
    <w:pPr>
      <w:spacing w:after="0" w:line="240" w:lineRule="auto"/>
    </w:pPr>
    <w:rPr>
      <w:sz w:val="20"/>
    </w:rPr>
  </w:style>
  <w:style w:type="character" w:styleId="936">
    <w:name w:val="Endnote Text Char"/>
    <w:link w:val="935"/>
    <w:uiPriority w:val="99"/>
    <w:rPr>
      <w:sz w:val="20"/>
    </w:rPr>
  </w:style>
  <w:style w:type="character" w:styleId="937">
    <w:name w:val="endnote reference"/>
    <w:basedOn w:val="950"/>
    <w:uiPriority w:val="99"/>
    <w:semiHidden/>
    <w:unhideWhenUsed/>
    <w:rPr>
      <w:vertAlign w:val="superscript"/>
    </w:rPr>
  </w:style>
  <w:style w:type="paragraph" w:styleId="938">
    <w:name w:val="toc 1"/>
    <w:basedOn w:val="949"/>
    <w:next w:val="949"/>
    <w:uiPriority w:val="39"/>
    <w:unhideWhenUsed/>
    <w:pPr>
      <w:ind w:left="0" w:right="0" w:firstLine="0"/>
      <w:spacing w:after="57"/>
    </w:pPr>
  </w:style>
  <w:style w:type="paragraph" w:styleId="939">
    <w:name w:val="toc 2"/>
    <w:basedOn w:val="949"/>
    <w:next w:val="949"/>
    <w:uiPriority w:val="39"/>
    <w:unhideWhenUsed/>
    <w:pPr>
      <w:ind w:left="283" w:right="0" w:firstLine="0"/>
      <w:spacing w:after="57"/>
    </w:pPr>
  </w:style>
  <w:style w:type="paragraph" w:styleId="940">
    <w:name w:val="toc 3"/>
    <w:basedOn w:val="949"/>
    <w:next w:val="949"/>
    <w:uiPriority w:val="39"/>
    <w:unhideWhenUsed/>
    <w:pPr>
      <w:ind w:left="567" w:right="0" w:firstLine="0"/>
      <w:spacing w:after="57"/>
    </w:pPr>
  </w:style>
  <w:style w:type="paragraph" w:styleId="941">
    <w:name w:val="toc 4"/>
    <w:basedOn w:val="949"/>
    <w:next w:val="949"/>
    <w:uiPriority w:val="39"/>
    <w:unhideWhenUsed/>
    <w:pPr>
      <w:ind w:left="850" w:right="0" w:firstLine="0"/>
      <w:spacing w:after="57"/>
    </w:pPr>
  </w:style>
  <w:style w:type="paragraph" w:styleId="942">
    <w:name w:val="toc 5"/>
    <w:basedOn w:val="949"/>
    <w:next w:val="949"/>
    <w:uiPriority w:val="39"/>
    <w:unhideWhenUsed/>
    <w:pPr>
      <w:ind w:left="1134" w:right="0" w:firstLine="0"/>
      <w:spacing w:after="57"/>
    </w:pPr>
  </w:style>
  <w:style w:type="paragraph" w:styleId="943">
    <w:name w:val="toc 6"/>
    <w:basedOn w:val="949"/>
    <w:next w:val="949"/>
    <w:uiPriority w:val="39"/>
    <w:unhideWhenUsed/>
    <w:pPr>
      <w:ind w:left="1417" w:right="0" w:firstLine="0"/>
      <w:spacing w:after="57"/>
    </w:pPr>
  </w:style>
  <w:style w:type="paragraph" w:styleId="944">
    <w:name w:val="toc 7"/>
    <w:basedOn w:val="949"/>
    <w:next w:val="949"/>
    <w:uiPriority w:val="39"/>
    <w:unhideWhenUsed/>
    <w:pPr>
      <w:ind w:left="1701" w:right="0" w:firstLine="0"/>
      <w:spacing w:after="57"/>
    </w:pPr>
  </w:style>
  <w:style w:type="paragraph" w:styleId="945">
    <w:name w:val="toc 8"/>
    <w:basedOn w:val="949"/>
    <w:next w:val="949"/>
    <w:uiPriority w:val="39"/>
    <w:unhideWhenUsed/>
    <w:pPr>
      <w:ind w:left="1984" w:right="0" w:firstLine="0"/>
      <w:spacing w:after="57"/>
    </w:pPr>
  </w:style>
  <w:style w:type="paragraph" w:styleId="946">
    <w:name w:val="toc 9"/>
    <w:basedOn w:val="949"/>
    <w:next w:val="949"/>
    <w:uiPriority w:val="39"/>
    <w:unhideWhenUsed/>
    <w:pPr>
      <w:ind w:left="2268" w:right="0" w:firstLine="0"/>
      <w:spacing w:after="57"/>
    </w:pPr>
  </w:style>
  <w:style w:type="paragraph" w:styleId="947">
    <w:name w:val="TOC Heading"/>
    <w:uiPriority w:val="39"/>
    <w:unhideWhenUsed/>
  </w:style>
  <w:style w:type="paragraph" w:styleId="948">
    <w:name w:val="table of figures"/>
    <w:basedOn w:val="949"/>
    <w:next w:val="949"/>
    <w:uiPriority w:val="99"/>
    <w:unhideWhenUsed/>
    <w:pPr>
      <w:spacing w:after="0" w:afterAutospacing="0"/>
    </w:pPr>
  </w:style>
  <w:style w:type="paragraph" w:styleId="949" w:default="1">
    <w:name w:val="Normal"/>
    <w:qFormat/>
  </w:style>
  <w:style w:type="character" w:styleId="950" w:default="1">
    <w:name w:val="Default Paragraph Font"/>
    <w:uiPriority w:val="1"/>
    <w:semiHidden/>
    <w:unhideWhenUsed/>
  </w:style>
  <w:style w:type="table" w:styleId="95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952" w:default="1">
    <w:name w:val="No List"/>
    <w:uiPriority w:val="99"/>
    <w:semiHidden/>
    <w:unhideWhenUsed/>
  </w:style>
  <w:style w:type="character" w:styleId="953">
    <w:name w:val="Hyperlink"/>
    <w:basedOn w:val="950"/>
    <w:uiPriority w:val="99"/>
    <w:unhideWhenUsed/>
    <w:rPr>
      <w:color w:val="0000ff" w:themeColor="hyperlink"/>
      <w:u w:val="single"/>
    </w:rPr>
  </w:style>
  <w:style w:type="paragraph" w:styleId="954">
    <w:name w:val="Balloon Text"/>
    <w:basedOn w:val="949"/>
    <w:link w:val="955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955" w:customStyle="1">
    <w:name w:val="Текст выноски Знак"/>
    <w:basedOn w:val="950"/>
    <w:link w:val="954"/>
    <w:uiPriority w:val="99"/>
    <w:semiHidden/>
    <w:rPr>
      <w:rFonts w:ascii="Tahoma" w:hAnsi="Tahoma" w:cs="Tahoma"/>
      <w:sz w:val="16"/>
      <w:szCs w:val="16"/>
    </w:rPr>
  </w:style>
  <w:style w:type="paragraph" w:styleId="956">
    <w:name w:val="List Paragraph"/>
    <w:basedOn w:val="949"/>
    <w:uiPriority w:val="34"/>
    <w:qFormat/>
    <w:pPr>
      <w:contextualSpacing/>
      <w:ind w:left="720"/>
    </w:pPr>
  </w:style>
  <w:style w:type="paragraph" w:styleId="957" w:customStyle="1">
    <w:name w:val="ConsPlusNonformat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958">
    <w:name w:val="Header"/>
    <w:basedOn w:val="949"/>
    <w:link w:val="959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59" w:customStyle="1">
    <w:name w:val="Верхний колонтитул Знак"/>
    <w:basedOn w:val="950"/>
    <w:link w:val="958"/>
    <w:uiPriority w:val="99"/>
  </w:style>
  <w:style w:type="paragraph" w:styleId="960">
    <w:name w:val="Footer"/>
    <w:basedOn w:val="949"/>
    <w:link w:val="961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61" w:customStyle="1">
    <w:name w:val="Нижний колонтитул Знак"/>
    <w:basedOn w:val="950"/>
    <w:link w:val="960"/>
    <w:uiPriority w:val="99"/>
  </w:style>
  <w:style w:type="table" w:styleId="962">
    <w:name w:val="Table Grid"/>
    <w:basedOn w:val="951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963" w:customStyle="1">
    <w:name w:val="ConsPlusNormal"/>
    <w:pPr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footer" Target="footer1.xml" /><Relationship Id="rId13" Type="http://schemas.openxmlformats.org/officeDocument/2006/relationships/footer" Target="footer2.xml" /><Relationship Id="rId14" Type="http://schemas.openxmlformats.org/officeDocument/2006/relationships/customXml" Target="../customXml/item1.xml" /><Relationship Id="rId15" Type="http://schemas.openxmlformats.org/officeDocument/2006/relationships/hyperlink" Target="consultantplus://offline/ref=DC41E2772540CE89436B920E86BEF4F9345B73C5B114AE3A8765A72052AFVDF" TargetMode="External"/><Relationship Id="rId16" Type="http://schemas.openxmlformats.org/officeDocument/2006/relationships/hyperlink" Target="consultantplus://offline/ref=DC41E2772540CE89436B920E86BEF4F9345B73C5B114AE3A8765A72052AFVDF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59030C7-E94C-4A4C-A8D7-86077D8242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Р7-Офис/7.4.0.341</Application>
  <Company>Департамент труда и занятости населения НСО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revision>43</cp:revision>
  <dcterms:created xsi:type="dcterms:W3CDTF">2019-12-24T11:40:00Z</dcterms:created>
  <dcterms:modified xsi:type="dcterms:W3CDTF">2024-01-15T03:49:11Z</dcterms:modified>
</cp:coreProperties>
</file>