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57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«УТВЕРЖДЕНО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/>
    </w:p>
    <w:p>
      <w:pPr>
        <w:pStyle w:val="957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приказом Минобразования Новосибирской области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/>
    </w:p>
    <w:p>
      <w:pPr>
        <w:pStyle w:val="957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</w:rPr>
        <w:t xml:space="preserve">от ___________  № _____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/>
    </w:p>
    <w:p>
      <w:pPr>
        <w:pStyle w:val="957"/>
        <w:ind w:left="5387"/>
        <w:jc w:val="center"/>
        <w:tabs>
          <w:tab w:val="left" w:pos="5670" w:leader="none"/>
        </w:tabs>
      </w:pP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  <w:r/>
    </w:p>
    <w:p>
      <w:pPr>
        <w:pStyle w:val="957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Министр образования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/>
    </w:p>
    <w:p>
      <w:pPr>
        <w:pStyle w:val="957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Новосибирской области</w:t>
      </w:r>
      <w:r>
        <w:rPr>
          <w:color w:val="000000" w:themeColor="text1"/>
          <w:sz w:val="28"/>
          <w:szCs w:val="28"/>
          <w:highlight w:val="white"/>
        </w:rPr>
      </w:r>
      <w:r/>
    </w:p>
    <w:p>
      <w:pPr>
        <w:pStyle w:val="957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color w:val="000000" w:themeColor="text1"/>
          <w:sz w:val="28"/>
          <w:szCs w:val="28"/>
          <w:highlight w:val="white"/>
        </w:rPr>
        <w:t xml:space="preserve">__________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М.Н. Жафярова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7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«___» ________20</w:t>
      </w:r>
      <w:r>
        <w:rPr>
          <w:rFonts w:ascii="Times New Roman" w:hAnsi="Times New Roman" w:cs="Times New Roman"/>
          <w:sz w:val="28"/>
          <w:szCs w:val="28"/>
        </w:rPr>
        <w:t xml:space="preserve">2</w:t>
      </w:r>
      <w:r>
        <w:rPr>
          <w:rFonts w:ascii="Times New Roman" w:hAnsi="Times New Roman" w:cs="Times New Roman"/>
          <w:sz w:val="28"/>
          <w:szCs w:val="28"/>
        </w:rPr>
        <w:t xml:space="preserve">3 г.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7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/>
    </w:p>
    <w:p>
      <w:pPr>
        <w:pStyle w:val="957"/>
        <w:jc w:val="righ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5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u w:val="none"/>
        </w:rPr>
        <w:t xml:space="preserve">__</w:t>
      </w:r>
      <w:r>
        <w:rPr>
          <w:rFonts w:ascii="Times New Roman" w:hAnsi="Times New Roman" w:cs="Times New Roman"/>
          <w:b/>
          <w:bCs/>
          <w:sz w:val="28"/>
          <w:szCs w:val="28"/>
          <w:u w:val="none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5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5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  <w:t xml:space="preserve">на 20</w:t>
      </w:r>
      <w:r>
        <w:rPr>
          <w:rFonts w:ascii="Times New Roman" w:hAnsi="Times New Roman" w:cs="Times New Roman"/>
          <w:b/>
          <w:sz w:val="28"/>
          <w:szCs w:val="28"/>
        </w:rPr>
        <w:t xml:space="preserve">2</w:t>
      </w:r>
      <w:r>
        <w:rPr>
          <w:rFonts w:ascii="Times New Roman" w:hAnsi="Times New Roman" w:cs="Times New Roman"/>
          <w:b/>
          <w:sz w:val="28"/>
          <w:szCs w:val="28"/>
        </w:rPr>
        <w:t xml:space="preserve">4 год и на плановый период 202</w:t>
      </w:r>
      <w:r>
        <w:rPr>
          <w:rFonts w:ascii="Times New Roman" w:hAnsi="Times New Roman" w:cs="Times New Roman"/>
          <w:b/>
          <w:sz w:val="28"/>
          <w:szCs w:val="28"/>
        </w:rPr>
        <w:t xml:space="preserve">5 и 202</w:t>
      </w:r>
      <w:r>
        <w:rPr>
          <w:rFonts w:ascii="Times New Roman" w:hAnsi="Times New Roman" w:cs="Times New Roman"/>
          <w:b/>
          <w:sz w:val="28"/>
          <w:szCs w:val="28"/>
        </w:rPr>
        <w:t xml:space="preserve">6 годов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57"/>
        <w:jc w:val="center"/>
      </w:pPr>
      <w:r>
        <w:t xml:space="preserve">                                    </w:t>
      </w:r>
      <w:r/>
    </w:p>
    <w:tbl>
      <w:tblPr>
        <w:tblStyle w:val="962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Коды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581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государственного учреждения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Новосибирской области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vMerge w:val="restart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Форма по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ОКУД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vAlign w:val="center"/>
            <w:vMerge w:val="restart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0506001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>
              <w:rPr>
                <w:rFonts w:ascii="Times New Roman" w:hAnsi="Times New Roman" w:cs="Times New Roman"/>
                <w:b/>
              </w:rPr>
              <w:t xml:space="preserve">бюджетное</w:t>
            </w:r>
            <w:r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</w:t>
            </w:r>
            <w:r>
              <w:rPr>
                <w:rFonts w:ascii="Times New Roman" w:hAnsi="Times New Roman" w:cs="Times New Roman"/>
                <w:b/>
              </w:rPr>
              <w:t xml:space="preserve">реждение Новосибирской области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vMerge w:val="continue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vMerge w:val="continue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55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b/>
                <w:sz w:val="14"/>
              </w:rPr>
            </w:pPr>
            <w:r>
              <w:rPr>
                <w:rFonts w:ascii="Times New Roman" w:hAnsi="Times New Roman" w:cs="Times New Roman"/>
                <w:b/>
                <w:sz w:val="14"/>
              </w:rPr>
            </w:r>
            <w:r>
              <w:rPr>
                <w:rFonts w:ascii="Times New Roman" w:hAnsi="Times New Roman" w:cs="Times New Roman"/>
                <w:b/>
                <w:sz w:val="14"/>
              </w:rPr>
            </w:r>
            <w:r>
              <w:rPr>
                <w:rFonts w:ascii="Times New Roman" w:hAnsi="Times New Roman" w:cs="Times New Roman"/>
                <w:b/>
                <w:sz w:val="14"/>
              </w:rPr>
            </w:r>
          </w:p>
          <w:p>
            <w:pPr>
              <w:pStyle w:val="957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«</w:t>
            </w:r>
            <w:r>
              <w:rPr>
                <w:rFonts w:ascii="Times New Roman" w:hAnsi="Times New Roman" w:cs="Times New Roman"/>
                <w:b/>
              </w:rPr>
              <w:t xml:space="preserve">Колыванский аграрный</w:t>
            </w:r>
            <w:r>
              <w:rPr>
                <w:rFonts w:ascii="Times New Roman" w:hAnsi="Times New Roman" w:cs="Times New Roman"/>
                <w:b/>
              </w:rPr>
              <w:t xml:space="preserve"> колледж</w:t>
            </w:r>
            <w:r>
              <w:rPr>
                <w:rFonts w:ascii="Times New Roman" w:hAnsi="Times New Roman" w:cs="Times New Roman"/>
                <w:b/>
              </w:rPr>
              <w:t xml:space="preserve">»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 начала действия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55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b/>
                <w:sz w:val="14"/>
              </w:rPr>
            </w:pPr>
            <w:r>
              <w:rPr>
                <w:rFonts w:ascii="Times New Roman" w:hAnsi="Times New Roman" w:cs="Times New Roman"/>
              </w:rPr>
              <w:t xml:space="preserve">Виды деятельности государственного учреждения Новосибирской  области</w:t>
            </w:r>
            <w:r>
              <w:rPr>
                <w:rFonts w:ascii="Times New Roman" w:hAnsi="Times New Roman" w:cs="Times New Roman"/>
                <w:b/>
                <w:sz w:val="14"/>
              </w:rPr>
            </w:r>
            <w:r>
              <w:rPr>
                <w:rFonts w:ascii="Times New Roman" w:hAnsi="Times New Roman" w:cs="Times New Roman"/>
                <w:b/>
                <w:sz w:val="1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 окончания действия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571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по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сводному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реестру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Образование и наука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64" w:type="dxa"/>
            <w:vAlign w:val="center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85.21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363"/>
        </w:trPr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Вид государственного учреждения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323"/>
        </w:trPr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Профессиональная образовательная организация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486"/>
        </w:trPr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64" w:type="dxa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pStyle w:val="957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Часть </w:t>
      </w:r>
      <w:r>
        <w:rPr>
          <w:rFonts w:ascii="Times New Roman" w:hAnsi="Times New Roman" w:cs="Times New Roman"/>
          <w:lang w:val="en-US"/>
        </w:rPr>
        <w:t xml:space="preserve">I</w:t>
      </w:r>
      <w:r>
        <w:rPr>
          <w:rFonts w:ascii="Times New Roman" w:hAnsi="Times New Roman" w:cs="Times New Roman"/>
        </w:rPr>
        <w:t xml:space="preserve">. Сведения об оказываемых государственных услугах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57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57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Раздел 1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57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tbl>
      <w:tblPr>
        <w:tblStyle w:val="962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>
        <w:trPr>
          <w:trHeight w:val="239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W w:w="155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по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базовому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(отраслевому)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перечню или региональному перечню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22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none" w:color="000000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46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среднего профессионального образования - программ подготовки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специалистов среднего звена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017" w:type="dxa"/>
            <w:vMerge w:val="restart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37.Д56.0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2. Категории потребителей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957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  <w:p>
            <w:pPr>
              <w:pStyle w:val="957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Физические лица, имеющие основное общее образование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Физические лица, имеющие среднее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</w:tbl>
    <w:p>
      <w:pPr>
        <w:pStyle w:val="957"/>
        <w:rPr>
          <w:rFonts w:ascii="Times New Roman" w:hAnsi="Times New Roman" w:cs="Times New Roman"/>
          <w:color w:val="000000" w:themeColor="text1"/>
        </w:rPr>
        <w:sectPr>
          <w:headerReference w:type="default" r:id="rId9"/>
          <w:footerReference w:type="default" r:id="rId12"/>
          <w:footerReference w:type="first" r:id="rId13"/>
          <w:footnotePr/>
          <w:endnotePr/>
          <w:type w:val="nextPage"/>
          <w:pgSz w:w="11906" w:h="16838" w:orient="portrait"/>
          <w:pgMar w:top="709" w:right="567" w:bottom="709" w:left="1418" w:header="720" w:footer="397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7"/>
        <w:ind w:left="-56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3. Показатели, характеризующие объем и (или) качество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3.1. Показатели, характеризующие качество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16018" w:type="dxa"/>
        <w:tblInd w:w="-6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134"/>
        <w:gridCol w:w="851"/>
        <w:gridCol w:w="992"/>
        <w:gridCol w:w="2693"/>
        <w:gridCol w:w="851"/>
        <w:gridCol w:w="709"/>
        <w:gridCol w:w="992"/>
        <w:gridCol w:w="992"/>
        <w:gridCol w:w="1134"/>
        <w:gridCol w:w="568"/>
        <w:gridCol w:w="568"/>
        <w:gridCol w:w="848"/>
      </w:tblGrid>
      <w:tr>
        <w:trPr>
          <w:trHeight w:val="99"/>
        </w:trPr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реестровой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82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425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качества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1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показателя качества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13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качества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Результаты оценки степени значимости показателя качества государственной услуги (в баллах)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46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827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84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год (очередной финансовый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год (1-й год планового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5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вание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ОКЕИ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1"/>
        </w:trPr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13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14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15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852101О.99.0.ББ28ПЧ00000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35.02.05 Агрономия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39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852101О.99.0.ББ28ПЮ32000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35.02.07 Механизация сельского хозяйства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83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82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50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44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852101О.99.0.ББ28ШУ40002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35.02.16 Эксплуатация и ремонт сельскохозяйственной техники и оборудования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72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72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72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72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852101О.99.0.ББ28ШУ64002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35.02.16 Эксплуатация и ремонт сельскохозяйственной техники и оборудования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Среднее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852101О.99.0.ББ28РФ92000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36.02.01 Ветеринария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852101О.99.0.ББ28РХ16000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36.02.01 Ветеринария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Среднее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852101О.99.0.ББ28РМ28000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35.02.13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Пчеловодство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</w:tbl>
    <w:p>
      <w:pPr>
        <w:ind w:left="0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3.2. Показатели, характеризующие объем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16302" w:type="dxa"/>
        <w:tblInd w:w="-789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701"/>
        <w:gridCol w:w="1134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>
        <w:trPr>
          <w:trHeight w:val="56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ровой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Размер платы (цена, тариф)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объема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7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год (1-й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год (2-й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год (1-й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год (2-й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496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наиме-нование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15" w:tooltip="consultantplus://offline/ref=DC41E2772540CE89436B920E86BEF4F9345B73C5B114AE3A8765A72052AFVDF" w:history="1">
              <w:r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1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609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852101О.99.0.ББ28ПЧ00000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35.02.05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Агрономия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89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89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89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86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852101О.99.0.ББ28ПЮ32000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35.02.07 Механизация сельского хозяйства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101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852101О.99.0.ББ28ШУ40002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35.02.16 Эксплуатация и ремонт сельскохозяйственной техники и оборудования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894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852101О.99.0.ББ28ШУ64002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35.02.16 Эксплуатация и ремонт сельскохозяйственн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ой техники и оборудования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Среднее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852101О.99.0.ББ28РФ92000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36.02.01 Ветеринария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852101О.99.0.ББ28РХ16000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36.02.01 Ветеринария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Среднее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852101О.99.0.ББ28РМ28000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35.02.13 Пчеловодство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</w:tbl>
    <w:p>
      <w:pPr>
        <w:pStyle w:val="957"/>
        <w:rPr>
          <w:rFonts w:ascii="Times New Roman" w:hAnsi="Times New Roman" w:cs="Times New Roman"/>
          <w:color w:val="ff0000"/>
          <w:sz w:val="4"/>
        </w:rPr>
      </w:pPr>
      <w:r>
        <w:rPr>
          <w:rFonts w:ascii="Times New Roman" w:hAnsi="Times New Roman" w:cs="Times New Roman"/>
          <w:color w:val="ff0000"/>
          <w:sz w:val="4"/>
        </w:rPr>
      </w:r>
      <w:r>
        <w:rPr>
          <w:rFonts w:ascii="Times New Roman" w:hAnsi="Times New Roman" w:cs="Times New Roman"/>
          <w:color w:val="ff0000"/>
          <w:sz w:val="4"/>
        </w:rPr>
      </w:r>
      <w:r>
        <w:rPr>
          <w:rFonts w:ascii="Times New Roman" w:hAnsi="Times New Roman" w:cs="Times New Roman"/>
          <w:color w:val="ff0000"/>
          <w:sz w:val="4"/>
        </w:rPr>
      </w:r>
    </w:p>
    <w:p>
      <w:pPr>
        <w:pStyle w:val="957"/>
        <w:jc w:val="center"/>
        <w:rPr>
          <w:color w:val="ff0000"/>
        </w:rPr>
        <w:sectPr>
          <w:footnotePr/>
          <w:endnotePr/>
          <w:type w:val="nextPage"/>
          <w:pgSz w:w="16838" w:h="11906" w:orient="landscape"/>
          <w:pgMar w:top="567" w:right="567" w:bottom="851" w:left="1134" w:header="340" w:footer="567" w:gutter="0"/>
          <w:cols w:num="1" w:sep="0" w:space="720" w:equalWidth="1"/>
          <w:docGrid w:linePitch="360"/>
          <w:titlePg/>
        </w:sectPr>
      </w:pPr>
      <w:r>
        <w:rPr>
          <w:color w:val="ff0000"/>
        </w:rPr>
      </w:r>
      <w:r>
        <w:rPr>
          <w:color w:val="ff0000"/>
        </w:rPr>
      </w:r>
      <w:r>
        <w:rPr>
          <w:color w:val="ff0000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4. Нормативные правовые акты, устанавливающие размер платы (цену, тариф) либо порядок ее (его) установления: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0" w:type="auto"/>
        <w:tblInd w:w="62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>
        <w:trPr/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Нормативный правовой акт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вид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принявший орган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дата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номер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 Порядок оказания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5.1. Нормативные правовые акты, регулирующие порядок оказания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>
        <w:trPr>
          <w:trHeight w:val="57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Федеральный закон от 29.12.2012 № 273-ФЗ «Об образовании в Российской Федерации»;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661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Федеральный закон от 21.12.2021 № 414-ФЗ «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Об общих принципах организации публичной власти в субъектах Российской Федерации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»; 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r>
          </w:p>
        </w:tc>
      </w:tr>
      <w:tr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Закон Новосибирской области от 05.07.2013 № 361-ОЗ «О регулировании отношений в сфере образования в Новосибирской области»;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Приказ Минобрнауки РФ от 29.10.2013 № 1199 «Об утверждении перечней профессий и специальностей среднего профессионального образования»;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735"/>
        </w:trPr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rFonts w:ascii="Times New Roman" w:hAnsi="Times New Roman" w:cs="Times New Roman"/>
              </w:rPr>
              <w:t xml:space="preserve">Приказ Министерства просвещен</w:t>
            </w:r>
            <w:r>
              <w:rPr>
                <w:rFonts w:ascii="Times New Roman" w:hAnsi="Times New Roman" w:cs="Times New Roman"/>
              </w:rPr>
              <w:t xml:space="preserve">ия Российской Федерации от 17.05.2022 № 336 «Об утверждении перечней профессий и специальностей среднего профессионального образования и установлении соответствия отдельных профессий и специальностей среднего профессионального образования, указанных в этих</w:t>
            </w:r>
            <w:r>
              <w:rPr>
                <w:rFonts w:ascii="Times New Roman" w:hAnsi="Times New Roman" w:cs="Times New Roman"/>
              </w:rPr>
              <w:t xml:space="preserve"> перечнях, профессиям и </w:t>
            </w:r>
            <w:r>
              <w:rPr>
                <w:rFonts w:ascii="Times New Roman" w:hAnsi="Times New Roman" w:cs="Times New Roman"/>
              </w:rPr>
              <w:t xml:space="preserve">специальностям среднего профессионального образования, перечни которых утверждены приказом министерства образования и науки Российской Федерации от 29.10.2013 №1199 «Об у</w:t>
            </w:r>
            <w:r>
              <w:rPr>
                <w:rFonts w:ascii="Times New Roman" w:hAnsi="Times New Roman" w:cs="Times New Roman"/>
              </w:rPr>
              <w:t xml:space="preserve">тверждении перечней профессий и </w:t>
            </w:r>
            <w:r>
              <w:rPr>
                <w:rFonts w:ascii="Times New Roman" w:hAnsi="Times New Roman" w:cs="Times New Roman"/>
              </w:rPr>
              <w:t xml:space="preserve">специальностей среднего профессионального образования».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5.2.  Порядок  информирования  потенциальных потребителей 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>
        <w:trPr/>
        <w:tc>
          <w:tcPr>
            <w:tcW w:w="3193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Способ информирования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Состав размещаемой информации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Частота обновления информации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</w:tr>
      <w:tr>
        <w:trPr/>
        <w:tc>
          <w:tcPr>
            <w:tcW w:w="3193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1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2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3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сайте профессиональной 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соответствии с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Постановлением Правительства РФ от 20.10.2021 № 1802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"Об утверждении Правил размещения на официальном сайте образо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средствах массовой информации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необходимости обязательного предварительного медицинского осмотра; информация о наличии общежития; контактная информация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справочниках, буклетах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информационных стендах профессиональной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Профориентационная работа в школах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shd w:val="nil" w:color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highlight w:val="none"/>
        </w:rPr>
        <w:br w:type="page" w:clear="all"/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7"/>
        <w:jc w:val="center"/>
        <w:rPr>
          <w:rFonts w:ascii="Times New Roman" w:hAnsi="Times New Roman" w:cs="Times New Roman"/>
          <w:color w:val="000000" w:themeColor="text1"/>
          <w:highlight w:val="none"/>
        </w:rPr>
      </w:pPr>
      <w:r>
        <w:rPr>
          <w:rFonts w:ascii="Times New Roman" w:hAnsi="Times New Roman" w:cs="Times New Roman"/>
          <w:color w:val="000000" w:themeColor="text1"/>
        </w:rPr>
        <w:t xml:space="preserve">Раздел 2</w:t>
      </w:r>
      <w:r>
        <w:rPr>
          <w:rFonts w:ascii="Times New Roman" w:hAnsi="Times New Roman" w:cs="Times New Roman"/>
          <w:color w:val="000000" w:themeColor="text1"/>
          <w:highlight w:val="none"/>
        </w:rPr>
      </w:r>
      <w:r>
        <w:rPr>
          <w:rFonts w:ascii="Times New Roman" w:hAnsi="Times New Roman" w:cs="Times New Roman"/>
          <w:color w:val="000000" w:themeColor="text1"/>
          <w:highlight w:val="none"/>
        </w:rPr>
      </w:r>
    </w:p>
    <w:p>
      <w:pPr>
        <w:pStyle w:val="957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Style w:val="962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>
        <w:trPr>
          <w:trHeight w:val="239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1. Наименование государственной услуги           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W w:w="155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Код по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базовому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(отраслевому)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перечню или региональному перечню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pStyle w:val="957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>
          <w:trHeight w:val="22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none" w:color="000000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>
          <w:trHeight w:val="46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Реализация образовательных программ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среднего профессионального образования - программ подготовки квалифицированных рабочих, служащих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017" w:type="dxa"/>
            <w:vMerge w:val="restart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37.Д57.0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2. Категории потребителей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Физические лица, имеющие 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</w:tbl>
    <w:p>
      <w:pPr>
        <w:pStyle w:val="957"/>
        <w:rPr>
          <w:rFonts w:ascii="Times New Roman" w:hAnsi="Times New Roman" w:cs="Times New Roman"/>
          <w:color w:val="ff0000"/>
        </w:rPr>
        <w:sectPr>
          <w:headerReference w:type="default" r:id="rId10"/>
          <w:footnotePr/>
          <w:endnotePr/>
          <w:type w:val="nextPage"/>
          <w:pgSz w:w="11906" w:h="16838" w:orient="portrait"/>
          <w:pgMar w:top="1134" w:right="567" w:bottom="1134" w:left="1418" w:header="720" w:footer="720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</w:p>
    <w:p>
      <w:pPr>
        <w:pStyle w:val="957"/>
        <w:ind w:left="-56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3. Показатели, характеризующие объем и (или) качество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3.1. Показатели, характеризующие качество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16018" w:type="dxa"/>
        <w:tblInd w:w="-6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418"/>
        <w:gridCol w:w="1133"/>
        <w:gridCol w:w="993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>
        <w:trPr>
          <w:trHeight w:val="99"/>
        </w:trPr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реестровой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54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98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439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качества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1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показателя качества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13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качества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Результаты оценки степени значимости показателя качества государственной услуги (в баллах)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46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54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98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год (очередной финансовый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год (1-й год планового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5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вание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ОКЕИ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1"/>
        </w:trPr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28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13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14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4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15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852101О.99.0.ББ29ОИ48000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35.01.09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Мастер растениеводства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83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747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126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none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852101О.99.0.ББ29ОМ36000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35.01.11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Мастер сельскохозяйственного производства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83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8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55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color w:val="000000" w:themeColor="text1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color w:val="000000" w:themeColor="text1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852100О.99.0.БО83МО12000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35.01.27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Мастер сельскохозяйственного производства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  <w:p>
            <w:pPr>
              <w:jc w:val="center"/>
              <w:spacing w:after="0" w:afterAutospacing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113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0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  <w:p>
            <w:pPr>
              <w:jc w:val="center"/>
              <w:spacing w:after="0" w:afterAutospacing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0"/>
                <w:u w:val="none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  <w:p>
            <w:pPr>
              <w:jc w:val="center"/>
              <w:spacing w:after="0" w:afterAutospacing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0"/>
                <w:u w:val="none"/>
                <w:vertAlign w:val="baseline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none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highlight w:val="non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color w:val="000000" w:themeColor="text1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color w:val="000000" w:themeColor="text1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593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852101О.99.0.ББ29ПА64000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35.01.23 Хозяйка(ин) усадьбы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1453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852101О.99.0.ББ29ЗА80000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19.01.04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Пекарь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70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122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852100О.99.0.БО83ЕП80000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14:ligatures w14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14:ligatures w14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14:ligatures w14:val="none"/>
              </w:rPr>
            </w:r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19.01.18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Аппаратчик-оператор производства продуктов питания из растительного сырья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r>
          </w:p>
        </w:tc>
        <w:tc>
          <w:tcPr>
            <w:tcW w:w="113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r>
          </w:p>
        </w:tc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  <w14:ligatures w14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Cs w:val="18"/>
                <w14:ligatures w14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  <w14:ligatures w14:val="none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</w:tbl>
    <w:p>
      <w:pPr>
        <w:shd w:val="nil" w:color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  <w:br w:type="page" w:clear="all"/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3.2. Показатели, характеризующие объем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16302" w:type="dxa"/>
        <w:tblInd w:w="-789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>
        <w:trPr>
          <w:trHeight w:val="56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ровой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Размер платы (цена, тариф)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объема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7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49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наиме-нование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16" w:tooltip="consultantplus://offline/ref=DC41E2772540CE89436B920E86BEF4F9345B73C5B114AE3A8765A72052AFVDF" w:history="1">
              <w:r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1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852101О.99.0.ББ29ОИ48000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35.01.09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Мастер растениеводства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852101О.99.0.ББ29ОМ36000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35.01.11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Мастер сельскохозяйственного производства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36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36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36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2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852100О.99.0.БО83МО12000</w:t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20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0"/>
                <w:u w:val="none"/>
              </w:rPr>
              <w:t xml:space="preserve">35.01.27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0"/>
                <w:u w:val="none"/>
              </w:rPr>
              <w:t xml:space="preserve">Мастер сельскохозяйственного производства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0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0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852101О.99.0.ББ29ПА64000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35.01.23 Хозяйка(ин) усадьбы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852101О.99.0.ББ29ЗА80000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19.01.04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Пекарь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39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39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39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2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852100О.99.0.БО83ЕП80000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19.01.18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Аппаратчик-оператор производства продуктов питания из растительного сырья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</w:tbl>
    <w:p>
      <w:pPr>
        <w:pStyle w:val="957"/>
        <w:jc w:val="center"/>
        <w:rPr>
          <w:rFonts w:ascii="Times New Roman" w:hAnsi="Times New Roman" w:cs="Times New Roman"/>
          <w:color w:val="ff0000"/>
          <w:sz w:val="4"/>
        </w:rPr>
      </w:pPr>
      <w:r>
        <w:rPr>
          <w:rFonts w:ascii="Times New Roman" w:hAnsi="Times New Roman" w:cs="Times New Roman"/>
          <w:color w:val="ff0000"/>
          <w:sz w:val="4"/>
        </w:rPr>
      </w:r>
      <w:r>
        <w:rPr>
          <w:rFonts w:ascii="Times New Roman" w:hAnsi="Times New Roman" w:cs="Times New Roman"/>
          <w:color w:val="ff0000"/>
          <w:sz w:val="4"/>
        </w:rPr>
      </w:r>
      <w:r>
        <w:rPr>
          <w:rFonts w:ascii="Times New Roman" w:hAnsi="Times New Roman" w:cs="Times New Roman"/>
          <w:color w:val="ff0000"/>
          <w:sz w:val="4"/>
        </w:rPr>
      </w:r>
    </w:p>
    <w:p>
      <w:pPr>
        <w:pStyle w:val="957"/>
        <w:jc w:val="center"/>
        <w:rPr>
          <w:color w:val="ff0000"/>
        </w:rPr>
        <w:sectPr>
          <w:footnotePr/>
          <w:endnotePr/>
          <w:type w:val="nextPage"/>
          <w:pgSz w:w="16838" w:h="11906" w:orient="landscape"/>
          <w:pgMar w:top="709" w:right="567" w:bottom="851" w:left="1134" w:header="454" w:footer="720" w:gutter="0"/>
          <w:cols w:num="1" w:sep="0" w:space="720" w:equalWidth="1"/>
          <w:docGrid w:linePitch="360"/>
          <w:titlePg/>
        </w:sectPr>
      </w:pPr>
      <w:r>
        <w:rPr>
          <w:color w:val="ff0000"/>
        </w:rPr>
      </w:r>
      <w:r>
        <w:rPr>
          <w:color w:val="ff0000"/>
        </w:rPr>
      </w:r>
      <w:r>
        <w:rPr>
          <w:color w:val="ff0000"/>
        </w:rPr>
      </w:r>
    </w:p>
    <w:p>
      <w:pPr>
        <w:pStyle w:val="957"/>
        <w:jc w:val="center"/>
        <w:rPr>
          <w:rFonts w:ascii="Times New Roman" w:hAnsi="Times New Roman" w:cs="Times New Roman"/>
          <w:color w:val="ff0000"/>
          <w:szCs w:val="22"/>
        </w:rPr>
      </w:pPr>
      <w:r>
        <w:rPr>
          <w:rFonts w:ascii="Times New Roman" w:hAnsi="Times New Roman" w:cs="Times New Roman"/>
          <w:color w:val="ff0000"/>
          <w:szCs w:val="22"/>
        </w:rPr>
      </w:r>
      <w:r>
        <w:rPr>
          <w:rFonts w:ascii="Times New Roman" w:hAnsi="Times New Roman" w:cs="Times New Roman"/>
          <w:color w:val="ff0000"/>
          <w:szCs w:val="22"/>
        </w:rPr>
      </w:r>
      <w:r>
        <w:rPr>
          <w:rFonts w:ascii="Times New Roman" w:hAnsi="Times New Roman" w:cs="Times New Roman"/>
          <w:color w:val="ff0000"/>
          <w:szCs w:val="22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 Нормативные правовые акты, устанавливающие размер платы (цену, тариф) либо порядок ее (его) установления: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tbl>
      <w:tblPr>
        <w:tblW w:w="0" w:type="auto"/>
        <w:tblInd w:w="62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>
        <w:trPr/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вид </w:t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дата </w:t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номер </w:t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1 </w:t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2 </w:t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3 </w:t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4 </w:t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5 </w:t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  <w:outlineLvl w:val="0"/>
            </w:pP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 Порядок оказания государственной услуги: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 xml:space="preserve">: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>
        <w:trPr>
          <w:trHeight w:val="57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Федеральный закон от 29.12.2012 № 273-ФЗ «Об образовании в Российской Федерации»; </w:t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</w:tr>
      <w:tr>
        <w:trPr>
          <w:trHeight w:val="71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Федеральный закон от 21.12.2021 № 414-ФЗ «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Об общих принципах организации публичной власти в субъектах Российской Федерации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»;</w:t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</w:tr>
      <w:tr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Закон Новосибирской области от 05.07.2013 № 361-ОЗ «О регулировании отношений в сфере образования в Новосибирской области»;</w:t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</w:tr>
      <w:tr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Приказ Минобрнауки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;</w:t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</w:tr>
      <w:tr>
        <w:trPr>
          <w:trHeight w:val="2067"/>
        </w:trPr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Приказ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Министерства просвещен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ия Российской Федерации от 17.05.2022 № 336 «Об утверждении перечней профессий и специальностей среднего профессионального образования и установлении соответствия отдельных профессий и специальностей среднего профессионального образования, указанных в этих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перечнях, профессиям и 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специальностям среднего профессионального образования, перечни которых утверждены приказом министерства образования и науки Российской Федерации от 29.10.2013 №1199 «Об 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тверждении перечней профессий и 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специальностей среднего профессионального образования»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5.2.  Порядок  информирования  потенциальных  потребителей  государственной услуги: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>
        <w:trPr/>
        <w:tc>
          <w:tcPr>
            <w:tcW w:w="3193" w:type="dxa"/>
            <w:textDirection w:val="lrTb"/>
            <w:noWrap w:val="false"/>
          </w:tcPr>
          <w:p>
            <w:pPr>
              <w:pStyle w:val="963"/>
              <w:jc w:val="center"/>
              <w:rPr>
                <w:szCs w:val="22"/>
              </w:rPr>
            </w:pPr>
            <w:r>
              <w:rPr>
                <w:szCs w:val="22"/>
              </w:rPr>
              <w:t xml:space="preserve">Способ информирования </w:t>
            </w:r>
            <w:r>
              <w:rPr>
                <w:szCs w:val="22"/>
              </w:rPr>
            </w:r>
            <w:r>
              <w:rPr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63"/>
              <w:jc w:val="center"/>
              <w:rPr>
                <w:szCs w:val="22"/>
              </w:rPr>
            </w:pPr>
            <w:r>
              <w:rPr>
                <w:szCs w:val="22"/>
              </w:rPr>
              <w:t xml:space="preserve">Состав размещаемой информации </w:t>
            </w:r>
            <w:r>
              <w:rPr>
                <w:szCs w:val="22"/>
              </w:rPr>
            </w:r>
            <w:r>
              <w:rPr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63"/>
              <w:jc w:val="center"/>
              <w:rPr>
                <w:szCs w:val="22"/>
              </w:rPr>
            </w:pPr>
            <w:r>
              <w:rPr>
                <w:szCs w:val="22"/>
              </w:rPr>
              <w:t xml:space="preserve">Частота обновления информации </w:t>
            </w:r>
            <w:r>
              <w:rPr>
                <w:szCs w:val="22"/>
              </w:rPr>
            </w:r>
            <w:r>
              <w:rPr>
                <w:szCs w:val="22"/>
              </w:rPr>
            </w:r>
          </w:p>
        </w:tc>
      </w:tr>
      <w:tr>
        <w:trPr/>
        <w:tc>
          <w:tcPr>
            <w:tcW w:w="3193" w:type="dxa"/>
            <w:textDirection w:val="lrTb"/>
            <w:noWrap w:val="false"/>
          </w:tcPr>
          <w:p>
            <w:pPr>
              <w:pStyle w:val="963"/>
              <w:jc w:val="center"/>
              <w:rPr>
                <w:szCs w:val="22"/>
              </w:rPr>
            </w:pPr>
            <w:r>
              <w:rPr>
                <w:szCs w:val="22"/>
              </w:rPr>
              <w:t xml:space="preserve">1 </w:t>
            </w:r>
            <w:r>
              <w:rPr>
                <w:szCs w:val="22"/>
              </w:rPr>
            </w:r>
            <w:r>
              <w:rPr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63"/>
              <w:jc w:val="center"/>
              <w:rPr>
                <w:szCs w:val="22"/>
              </w:rPr>
            </w:pPr>
            <w:r>
              <w:rPr>
                <w:szCs w:val="22"/>
              </w:rPr>
              <w:t xml:space="preserve">2 </w:t>
            </w:r>
            <w:r>
              <w:rPr>
                <w:szCs w:val="22"/>
              </w:rPr>
            </w:r>
            <w:r>
              <w:rPr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63"/>
              <w:jc w:val="center"/>
              <w:rPr>
                <w:szCs w:val="22"/>
              </w:rPr>
            </w:pPr>
            <w:r>
              <w:rPr>
                <w:szCs w:val="22"/>
              </w:rPr>
              <w:t xml:space="preserve">3 </w:t>
            </w:r>
            <w:r>
              <w:rPr>
                <w:szCs w:val="22"/>
              </w:rPr>
            </w:r>
            <w:r>
              <w:rPr>
                <w:szCs w:val="22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Размещение информации на сайте профессиональной 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соответствии с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Постановлением Правительства РФ от 20.10.2021 № 1802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"Об утверждении Правил размещения на официальном сайте образо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Размещение информации в средствах массовой информации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</w:r>
          </w:p>
        </w:tc>
        <w:tc>
          <w:tcPr>
            <w:tcW w:w="31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необходимости обязательного предварительного медицинского осмотра; информация о наличии общежития; контактная информация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Размещение информации в справочниках, буклетах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Размещение информации на информационных стендах профессиональной 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Профориентационная работа в школах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</w:r>
          </w:p>
        </w:tc>
      </w:tr>
    </w:tbl>
    <w:p>
      <w:pPr>
        <w:shd w:val="nil" w:color="00000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highlight w:val="none"/>
        </w:rPr>
      </w:r>
      <w:r>
        <w:rPr>
          <w:rFonts w:ascii="Times New Roman" w:hAnsi="Times New Roman" w:cs="Times New Roman"/>
          <w:sz w:val="20"/>
          <w:szCs w:val="20"/>
          <w:highlight w:val="none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/>
      <w:bookmarkStart w:id="0" w:name="undefined"/>
      <w:r/>
      <w:bookmarkEnd w:id="0"/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Часть </w:t>
      </w:r>
      <w:r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 xml:space="preserve">III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. Прочие сведения о государственном задании</w:t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pStyle w:val="957"/>
        <w:jc w:val="center"/>
        <w:rPr>
          <w:color w:val="000000" w:themeColor="text1"/>
          <w:sz w:val="18"/>
          <w:szCs w:val="18"/>
        </w:rPr>
      </w:pPr>
      <w:r>
        <w:rPr>
          <w:color w:val="000000" w:themeColor="text1"/>
          <w:sz w:val="18"/>
          <w:szCs w:val="18"/>
        </w:rPr>
      </w:r>
      <w:r>
        <w:rPr>
          <w:color w:val="000000" w:themeColor="text1"/>
          <w:sz w:val="18"/>
          <w:szCs w:val="18"/>
        </w:rPr>
      </w:r>
      <w:r>
        <w:rPr>
          <w:color w:val="000000" w:themeColor="text1"/>
          <w:sz w:val="18"/>
          <w:szCs w:val="18"/>
        </w:rPr>
      </w:r>
    </w:p>
    <w:p>
      <w:pPr>
        <w:pStyle w:val="957"/>
        <w:jc w:val="center"/>
        <w:rPr>
          <w:color w:val="000000" w:themeColor="text1"/>
          <w:sz w:val="18"/>
          <w:szCs w:val="18"/>
        </w:rPr>
      </w:pPr>
      <w:r>
        <w:rPr>
          <w:color w:val="000000" w:themeColor="text1"/>
          <w:sz w:val="18"/>
          <w:szCs w:val="18"/>
        </w:rPr>
      </w:r>
      <w:r>
        <w:rPr>
          <w:color w:val="000000" w:themeColor="text1"/>
          <w:sz w:val="18"/>
          <w:szCs w:val="18"/>
        </w:rPr>
      </w:r>
      <w:r>
        <w:rPr>
          <w:color w:val="000000" w:themeColor="text1"/>
          <w:sz w:val="18"/>
          <w:szCs w:val="18"/>
        </w:rPr>
      </w:r>
    </w:p>
    <w:p>
      <w:pPr>
        <w:pStyle w:val="956"/>
        <w:numPr>
          <w:ilvl w:val="0"/>
          <w:numId w:val="16"/>
        </w:numPr>
        <w:ind w:left="284" w:hanging="284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Основания (условия и порядок) для досрочного прекращения выполнения государственного задания 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eastAsia="Times New Roman" w:cs="Times New Roman"/>
          <w:color w:val="000000" w:themeColor="text1"/>
          <w:sz w:val="20"/>
          <w:szCs w:val="20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Выполнение государственного задания завершается по окончании финансового года. </w:t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Досрочное прекращение государственного задания возможно при следующих условиях:</w:t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- ликвидации, реорганизации профессионального образовательного учреждения;</w:t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- исключение государственной услуги из Базового (отраслевого) или регионального перечня государственных услуг (работ);</w:t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- иные основания, предусмотренные законодательством.</w:t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eastAsia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eastAsia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eastAsia="Times New Roman" w:cs="Times New Roman"/>
          <w:color w:val="000000" w:themeColor="text1"/>
          <w:sz w:val="20"/>
          <w:szCs w:val="20"/>
        </w:rPr>
      </w:r>
    </w:p>
    <w:p>
      <w:pPr>
        <w:pStyle w:val="957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2.  Иная информация, необходимая для выполнения (контроля за выполнением)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57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государственного задания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jc w:val="both"/>
        <w:spacing w:after="0" w:line="240" w:lineRule="auto"/>
        <w:rPr>
          <w:rFonts w:ascii="Times New Roman" w:hAnsi="Times New Roman" w:eastAsia="Calibri" w:cs="Times New Roman"/>
          <w:color w:val="000000" w:themeColor="text1"/>
        </w:rPr>
      </w:pPr>
      <w:r>
        <w:rPr>
          <w:rFonts w:ascii="Times New Roman" w:hAnsi="Times New Roman" w:eastAsia="Calibri" w:cs="Times New Roman"/>
          <w:color w:val="000000" w:themeColor="text1"/>
        </w:rPr>
        <w:t xml:space="preserve">Иная информация не требуется.</w:t>
      </w:r>
      <w:r>
        <w:rPr>
          <w:rFonts w:ascii="Times New Roman" w:hAnsi="Times New Roman" w:eastAsia="Calibri" w:cs="Times New Roman"/>
          <w:color w:val="000000" w:themeColor="text1"/>
        </w:rPr>
      </w:r>
      <w:r>
        <w:rPr>
          <w:rFonts w:ascii="Times New Roman" w:hAnsi="Times New Roman" w:eastAsia="Calibri" w:cs="Times New Roman"/>
          <w:color w:val="000000" w:themeColor="text1"/>
        </w:rPr>
      </w:r>
    </w:p>
    <w:p>
      <w:pPr>
        <w:pStyle w:val="957"/>
        <w:spacing w:line="36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pStyle w:val="957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3. Порядок контроля за выполнением государственного задания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tbl>
      <w:tblPr>
        <w:tblW w:w="0" w:type="auto"/>
        <w:tblInd w:w="6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>
        <w:trPr/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Форма контроля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Периодичность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Органы исполнительной власти Новосибирской области, осуществляющие контроль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за выполнением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государственного задания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/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/>
        <w:tc>
          <w:tcPr>
            <w:tcW w:w="321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</w:rPr>
              <w:t xml:space="preserve">Профессиональное образовательное учреждение предоставляет отчет об исполнении государственного задания по форме, утвержденной постановлением Правительства Новосибирской области от 23.11.2015 № 406-п</w:t>
            </w:r>
            <w:r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</w:rPr>
              <w:t xml:space="preserve">Ежеквартально, до 10 числа месяца, следующего за отчетным кварталом</w:t>
            </w:r>
            <w:r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  <w:highlight w:val="none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</w:rPr>
              <w:t xml:space="preserve">Министерство образования Новосибирской области</w:t>
            </w:r>
            <w:r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</w:rPr>
            </w:r>
          </w:p>
        </w:tc>
      </w:tr>
    </w:tbl>
    <w:p>
      <w:pPr>
        <w:pStyle w:val="957"/>
        <w:spacing w:line="480" w:lineRule="auto"/>
        <w:rPr>
          <w:color w:val="000000" w:themeColor="text1"/>
          <w:sz w:val="18"/>
          <w:szCs w:val="18"/>
        </w:rPr>
      </w:pPr>
      <w:r>
        <w:rPr>
          <w:color w:val="000000" w:themeColor="text1"/>
          <w:lang w:val="en-US"/>
        </w:rPr>
      </w:r>
      <w:r>
        <w:rPr>
          <w:color w:val="000000" w:themeColor="text1"/>
          <w:sz w:val="18"/>
          <w:szCs w:val="18"/>
        </w:rPr>
      </w:r>
      <w:r>
        <w:rPr>
          <w:color w:val="000000" w:themeColor="text1"/>
          <w:sz w:val="18"/>
          <w:szCs w:val="18"/>
        </w:rPr>
      </w:r>
    </w:p>
    <w:p>
      <w:pPr>
        <w:pStyle w:val="957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</w:t>
      </w:r>
      <w:r>
        <w:rPr>
          <w:color w:val="000000" w:themeColor="text1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Требования к отчетности о выполнении государственного задания: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4.1. Периодичность  представления  отчетов  о  выполнении государственного задания:</w:t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</w:p>
    <w:p>
      <w:pPr>
        <w:pStyle w:val="957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Ежеквартально.</w:t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</w:p>
    <w:p>
      <w:pPr>
        <w:pStyle w:val="957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57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4.2. Сроки представления отчетов о выполнении государственного задания: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57"/>
        <w:ind w:left="0" w:firstLine="0"/>
        <w:jc w:val="both"/>
        <w:rPr>
          <w:rFonts w:ascii="Times New Roman" w:hAnsi="Times New Roman" w:eastAsia="Calibri" w:cs="Times New Roman"/>
          <w:color w:val="000000" w:themeColor="text1"/>
          <w:sz w:val="22"/>
          <w:szCs w:val="22"/>
          <w:highlight w:val="none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- ежеквартально до 10 числа месяца, следующего за отчётным, по итогам года - до 20 января года, 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следующего за отчетным;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  <w:highlight w:val="none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  <w:highlight w:val="none"/>
        </w:rPr>
      </w:r>
    </w:p>
    <w:p>
      <w:pPr>
        <w:pStyle w:val="957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  <w:t xml:space="preserve">- представление</w:t>
      </w:r>
      <w:r>
        <w:rPr>
          <w:rFonts w:ascii="Times New Roman" w:hAnsi="Times New Roman" w:cs="Times New Roman"/>
          <w:sz w:val="22"/>
          <w:szCs w:val="22"/>
        </w:rPr>
        <w:t xml:space="preserve"> предварительного отчета о выполнении государственного задания - </w:t>
      </w:r>
      <w:r>
        <w:rPr>
          <w:rFonts w:ascii="Times New Roman" w:hAnsi="Times New Roman" w:cs="Times New Roman"/>
          <w:sz w:val="22"/>
          <w:szCs w:val="22"/>
        </w:rPr>
        <w:t xml:space="preserve">не позднее 1 ноября отчетного года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.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957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957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4.3. Иные требования к отчетности о выполнении государственного задания: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57"/>
        <w:jc w:val="both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957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57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5. Иные показатели, связанные с выполнением государственного задания: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57"/>
        <w:rPr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Иные показатели не требуются.</w:t>
      </w:r>
      <w:r>
        <w:rPr>
          <w:color w:val="000000" w:themeColor="text1"/>
          <w:sz w:val="22"/>
          <w:szCs w:val="22"/>
        </w:rPr>
      </w:r>
      <w:r>
        <w:rPr>
          <w:color w:val="000000" w:themeColor="text1"/>
          <w:sz w:val="22"/>
          <w:szCs w:val="22"/>
        </w:rPr>
      </w:r>
    </w:p>
    <w:p>
      <w:pPr>
        <w:shd w:val="nil" w:color="auto"/>
        <w:rPr>
          <w:rFonts w:ascii="Times New Roman" w:hAnsi="Times New Roman" w:cs="Times New Roman"/>
          <w:sz w:val="20"/>
          <w:szCs w:val="20"/>
          <w:highlight w:val="none"/>
        </w:rPr>
      </w:pPr>
      <w:r>
        <w:rPr>
          <w:rFonts w:ascii="Times New Roman" w:hAnsi="Times New Roman" w:cs="Times New Roman"/>
          <w:sz w:val="20"/>
          <w:szCs w:val="20"/>
          <w:highlight w:val="none"/>
        </w:rPr>
      </w:r>
      <w:r>
        <w:rPr>
          <w:rFonts w:ascii="Times New Roman" w:hAnsi="Times New Roman" w:cs="Times New Roman"/>
          <w:sz w:val="20"/>
          <w:szCs w:val="20"/>
          <w:highlight w:val="none"/>
        </w:rPr>
      </w:r>
      <w:r>
        <w:rPr>
          <w:rFonts w:ascii="Times New Roman" w:hAnsi="Times New Roman" w:cs="Times New Roman"/>
          <w:sz w:val="20"/>
          <w:szCs w:val="20"/>
          <w:highlight w:val="none"/>
        </w:rPr>
      </w:r>
    </w:p>
    <w:sectPr>
      <w:headerReference w:type="default" r:id="rId11"/>
      <w:footnotePr/>
      <w:endnotePr/>
      <w:type w:val="nextPage"/>
      <w:pgSz w:w="11906" w:h="16838" w:orient="portrait"/>
      <w:pgMar w:top="1134" w:right="567" w:bottom="1134" w:left="1418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Wingdings">
    <w:panose1 w:val="05010000000000000000"/>
  </w:font>
  <w:font w:name="Symbol">
    <w:panose1 w:val="05010000000000000000"/>
  </w:font>
  <w:font w:name="Times New Roman">
    <w:panose1 w:val="02020603050405020304"/>
  </w:font>
  <w:font w:name="Courier New">
    <w:panose1 w:val="020703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441677891"/>
      <w:docPartObj>
        <w:docPartGallery w:val="Page Numbers (Bottom of Page)"/>
        <w:docPartUnique w:val="true"/>
      </w:docPartObj>
      <w:rPr/>
    </w:sdtPr>
    <w:sdtContent>
      <w:p>
        <w:pPr>
          <w:pStyle w:val="960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17</w:t>
        </w:r>
        <w:r>
          <w:fldChar w:fldCharType="end"/>
        </w:r>
        <w:r/>
      </w:p>
    </w:sdtContent>
  </w:sdt>
  <w:p>
    <w:pPr>
      <w:pStyle w:val="960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441677890"/>
      <w:docPartObj>
        <w:docPartGallery w:val="Page Numbers (Bottom of Page)"/>
        <w:docPartUnique w:val="true"/>
      </w:docPartObj>
      <w:rPr/>
    </w:sdtPr>
    <w:sdtContent>
      <w:p>
        <w:pPr>
          <w:pStyle w:val="960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12</w:t>
        </w:r>
        <w:r>
          <w:fldChar w:fldCharType="end"/>
        </w:r>
        <w:r/>
      </w:p>
    </w:sdtContent>
  </w:sdt>
  <w:p>
    <w:pPr>
      <w:pStyle w:val="960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58"/>
      <w:jc w:val="center"/>
    </w:pPr>
    <w:r/>
    <w:r/>
  </w:p>
  <w:p>
    <w:pPr>
      <w:pStyle w:val="958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980110020"/>
      <w:docPartObj>
        <w:docPartGallery w:val="Page Numbers (Top of Page)"/>
        <w:docPartUnique w:val="true"/>
      </w:docPartObj>
      <w:rPr/>
    </w:sdtPr>
    <w:sdtContent>
      <w:p>
        <w:pPr>
          <w:pStyle w:val="958"/>
          <w:jc w:val="center"/>
          <w:rPr>
            <w:rFonts w:ascii="Times New Roman" w:hAnsi="Times New Roman" w:cs="Times New Roman"/>
            <w:sz w:val="20"/>
          </w:rPr>
        </w:pPr>
        <w:r>
          <w:rPr>
            <w:rFonts w:ascii="Times New Roman" w:hAnsi="Times New Roman" w:cs="Times New Roman"/>
            <w:sz w:val="20"/>
          </w:rPr>
        </w:r>
        <w:r>
          <w:rPr>
            <w:rFonts w:ascii="Times New Roman" w:hAnsi="Times New Roman" w:cs="Times New Roman"/>
            <w:sz w:val="20"/>
          </w:rPr>
        </w:r>
        <w:r>
          <w:rPr>
            <w:rFonts w:ascii="Times New Roman" w:hAnsi="Times New Roman" w:cs="Times New Roman"/>
            <w:sz w:val="20"/>
          </w:rPr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58"/>
      <w:jc w:val="center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</w:rPr>
    </w:r>
    <w:r>
      <w:rPr>
        <w:rFonts w:ascii="Times New Roman" w:hAnsi="Times New Roman" w:cs="Times New Roman"/>
        <w:sz w:val="20"/>
      </w:rPr>
    </w:r>
    <w:r>
      <w:rPr>
        <w:rFonts w:ascii="Times New Roman" w:hAnsi="Times New Roman" w:cs="Times New Roman"/>
        <w:sz w:val="20"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3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744" w:hanging="1035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9">
    <w:multiLevelType w:val="hybridMultilevel"/>
    <w:lvl w:ilvl="0">
      <w:start w:val="2"/>
      <w:numFmt w:val="decimal"/>
      <w:isLgl w:val="false"/>
      <w:suff w:val="tab"/>
      <w:lvlText w:val="3.%1."/>
      <w:legacy w:legacy="1" w:legacyIndent="864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2.%1."/>
      <w:legacy w:legacy="1" w:legacyIndent="869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1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76">
    <w:name w:val="Heading 1"/>
    <w:basedOn w:val="949"/>
    <w:next w:val="949"/>
    <w:link w:val="77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77">
    <w:name w:val="Heading 1 Char"/>
    <w:basedOn w:val="950"/>
    <w:link w:val="776"/>
    <w:uiPriority w:val="9"/>
    <w:rPr>
      <w:rFonts w:ascii="Arial" w:hAnsi="Arial" w:eastAsia="Arial" w:cs="Arial"/>
      <w:sz w:val="40"/>
      <w:szCs w:val="40"/>
    </w:rPr>
  </w:style>
  <w:style w:type="paragraph" w:styleId="778">
    <w:name w:val="Heading 2"/>
    <w:basedOn w:val="949"/>
    <w:next w:val="949"/>
    <w:link w:val="77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79">
    <w:name w:val="Heading 2 Char"/>
    <w:basedOn w:val="950"/>
    <w:link w:val="778"/>
    <w:uiPriority w:val="9"/>
    <w:rPr>
      <w:rFonts w:ascii="Arial" w:hAnsi="Arial" w:eastAsia="Arial" w:cs="Arial"/>
      <w:sz w:val="34"/>
    </w:rPr>
  </w:style>
  <w:style w:type="paragraph" w:styleId="780">
    <w:name w:val="Heading 3"/>
    <w:basedOn w:val="949"/>
    <w:next w:val="949"/>
    <w:link w:val="78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81">
    <w:name w:val="Heading 3 Char"/>
    <w:basedOn w:val="950"/>
    <w:link w:val="780"/>
    <w:uiPriority w:val="9"/>
    <w:rPr>
      <w:rFonts w:ascii="Arial" w:hAnsi="Arial" w:eastAsia="Arial" w:cs="Arial"/>
      <w:sz w:val="30"/>
      <w:szCs w:val="30"/>
    </w:rPr>
  </w:style>
  <w:style w:type="paragraph" w:styleId="782">
    <w:name w:val="Heading 4"/>
    <w:basedOn w:val="949"/>
    <w:next w:val="949"/>
    <w:link w:val="78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83">
    <w:name w:val="Heading 4 Char"/>
    <w:basedOn w:val="950"/>
    <w:link w:val="782"/>
    <w:uiPriority w:val="9"/>
    <w:rPr>
      <w:rFonts w:ascii="Arial" w:hAnsi="Arial" w:eastAsia="Arial" w:cs="Arial"/>
      <w:b/>
      <w:bCs/>
      <w:sz w:val="26"/>
      <w:szCs w:val="26"/>
    </w:rPr>
  </w:style>
  <w:style w:type="paragraph" w:styleId="784">
    <w:name w:val="Heading 5"/>
    <w:basedOn w:val="949"/>
    <w:next w:val="949"/>
    <w:link w:val="78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85">
    <w:name w:val="Heading 5 Char"/>
    <w:basedOn w:val="950"/>
    <w:link w:val="784"/>
    <w:uiPriority w:val="9"/>
    <w:rPr>
      <w:rFonts w:ascii="Arial" w:hAnsi="Arial" w:eastAsia="Arial" w:cs="Arial"/>
      <w:b/>
      <w:bCs/>
      <w:sz w:val="24"/>
      <w:szCs w:val="24"/>
    </w:rPr>
  </w:style>
  <w:style w:type="paragraph" w:styleId="786">
    <w:name w:val="Heading 6"/>
    <w:basedOn w:val="949"/>
    <w:next w:val="949"/>
    <w:link w:val="78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87">
    <w:name w:val="Heading 6 Char"/>
    <w:basedOn w:val="950"/>
    <w:link w:val="786"/>
    <w:uiPriority w:val="9"/>
    <w:rPr>
      <w:rFonts w:ascii="Arial" w:hAnsi="Arial" w:eastAsia="Arial" w:cs="Arial"/>
      <w:b/>
      <w:bCs/>
      <w:sz w:val="22"/>
      <w:szCs w:val="22"/>
    </w:rPr>
  </w:style>
  <w:style w:type="paragraph" w:styleId="788">
    <w:name w:val="Heading 7"/>
    <w:basedOn w:val="949"/>
    <w:next w:val="949"/>
    <w:link w:val="78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89">
    <w:name w:val="Heading 7 Char"/>
    <w:basedOn w:val="950"/>
    <w:link w:val="78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90">
    <w:name w:val="Heading 8"/>
    <w:basedOn w:val="949"/>
    <w:next w:val="949"/>
    <w:link w:val="79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91">
    <w:name w:val="Heading 8 Char"/>
    <w:basedOn w:val="950"/>
    <w:link w:val="790"/>
    <w:uiPriority w:val="9"/>
    <w:rPr>
      <w:rFonts w:ascii="Arial" w:hAnsi="Arial" w:eastAsia="Arial" w:cs="Arial"/>
      <w:i/>
      <w:iCs/>
      <w:sz w:val="22"/>
      <w:szCs w:val="22"/>
    </w:rPr>
  </w:style>
  <w:style w:type="paragraph" w:styleId="792">
    <w:name w:val="Heading 9"/>
    <w:basedOn w:val="949"/>
    <w:next w:val="949"/>
    <w:link w:val="79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93">
    <w:name w:val="Heading 9 Char"/>
    <w:basedOn w:val="950"/>
    <w:link w:val="792"/>
    <w:uiPriority w:val="9"/>
    <w:rPr>
      <w:rFonts w:ascii="Arial" w:hAnsi="Arial" w:eastAsia="Arial" w:cs="Arial"/>
      <w:i/>
      <w:iCs/>
      <w:sz w:val="21"/>
      <w:szCs w:val="21"/>
    </w:rPr>
  </w:style>
  <w:style w:type="paragraph" w:styleId="794">
    <w:name w:val="No Spacing"/>
    <w:uiPriority w:val="1"/>
    <w:qFormat/>
    <w:pPr>
      <w:spacing w:before="0" w:after="0" w:line="240" w:lineRule="auto"/>
    </w:pPr>
  </w:style>
  <w:style w:type="paragraph" w:styleId="795">
    <w:name w:val="Title"/>
    <w:basedOn w:val="949"/>
    <w:next w:val="949"/>
    <w:link w:val="79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96">
    <w:name w:val="Title Char"/>
    <w:basedOn w:val="950"/>
    <w:link w:val="795"/>
    <w:uiPriority w:val="10"/>
    <w:rPr>
      <w:sz w:val="48"/>
      <w:szCs w:val="48"/>
    </w:rPr>
  </w:style>
  <w:style w:type="paragraph" w:styleId="797">
    <w:name w:val="Subtitle"/>
    <w:basedOn w:val="949"/>
    <w:next w:val="949"/>
    <w:link w:val="798"/>
    <w:uiPriority w:val="11"/>
    <w:qFormat/>
    <w:pPr>
      <w:spacing w:before="200" w:after="200"/>
    </w:pPr>
    <w:rPr>
      <w:sz w:val="24"/>
      <w:szCs w:val="24"/>
    </w:rPr>
  </w:style>
  <w:style w:type="character" w:styleId="798">
    <w:name w:val="Subtitle Char"/>
    <w:basedOn w:val="950"/>
    <w:link w:val="797"/>
    <w:uiPriority w:val="11"/>
    <w:rPr>
      <w:sz w:val="24"/>
      <w:szCs w:val="24"/>
    </w:rPr>
  </w:style>
  <w:style w:type="paragraph" w:styleId="799">
    <w:name w:val="Quote"/>
    <w:basedOn w:val="949"/>
    <w:next w:val="949"/>
    <w:link w:val="800"/>
    <w:uiPriority w:val="29"/>
    <w:qFormat/>
    <w:pPr>
      <w:ind w:left="720" w:right="720"/>
    </w:pPr>
    <w:rPr>
      <w:i/>
    </w:rPr>
  </w:style>
  <w:style w:type="character" w:styleId="800">
    <w:name w:val="Quote Char"/>
    <w:link w:val="799"/>
    <w:uiPriority w:val="29"/>
    <w:rPr>
      <w:i/>
    </w:rPr>
  </w:style>
  <w:style w:type="paragraph" w:styleId="801">
    <w:name w:val="Intense Quote"/>
    <w:basedOn w:val="949"/>
    <w:next w:val="949"/>
    <w:link w:val="80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02">
    <w:name w:val="Intense Quote Char"/>
    <w:link w:val="801"/>
    <w:uiPriority w:val="30"/>
    <w:rPr>
      <w:i/>
    </w:rPr>
  </w:style>
  <w:style w:type="character" w:styleId="803">
    <w:name w:val="Header Char"/>
    <w:basedOn w:val="950"/>
    <w:link w:val="958"/>
    <w:uiPriority w:val="99"/>
  </w:style>
  <w:style w:type="character" w:styleId="804">
    <w:name w:val="Footer Char"/>
    <w:basedOn w:val="950"/>
    <w:link w:val="960"/>
    <w:uiPriority w:val="99"/>
  </w:style>
  <w:style w:type="paragraph" w:styleId="805">
    <w:name w:val="Caption"/>
    <w:basedOn w:val="949"/>
    <w:next w:val="94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806">
    <w:name w:val="Caption Char"/>
    <w:basedOn w:val="805"/>
    <w:link w:val="960"/>
    <w:uiPriority w:val="99"/>
  </w:style>
  <w:style w:type="table" w:styleId="807">
    <w:name w:val="Table Grid Light"/>
    <w:basedOn w:val="95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08">
    <w:name w:val="Plain Table 1"/>
    <w:basedOn w:val="95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09">
    <w:name w:val="Plain Table 2"/>
    <w:basedOn w:val="95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10">
    <w:name w:val="Plain Table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11">
    <w:name w:val="Plain Table 4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Plain Table 5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13">
    <w:name w:val="Grid Table 1 Light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Grid Table 1 Light - Accent 1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Grid Table 1 Light - Accent 2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Grid Table 1 Light - Accent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Grid Table 1 Light - Accent 4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Grid Table 1 Light - Accent 5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Grid Table 1 Light - Accent 6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Grid Table 2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>
    <w:name w:val="Grid Table 2 - Accent 1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>
    <w:name w:val="Grid Table 2 - Accent 2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>
    <w:name w:val="Grid Table 2 - Accent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>
    <w:name w:val="Grid Table 2 - Accent 4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>
    <w:name w:val="Grid Table 2 - Accent 5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>
    <w:name w:val="Grid Table 2 - Accent 6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>
    <w:name w:val="Grid Table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>
    <w:name w:val="Grid Table 3 - Accent 1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>
    <w:name w:val="Grid Table 3 - Accent 2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>
    <w:name w:val="Grid Table 3 - Accent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>
    <w:name w:val="Grid Table 3 - Accent 4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>
    <w:name w:val="Grid Table 3 - Accent 5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>
    <w:name w:val="Grid Table 3 - Accent 6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>
    <w:name w:val="Grid Table 4"/>
    <w:basedOn w:val="9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35">
    <w:name w:val="Grid Table 4 - Accent 1"/>
    <w:basedOn w:val="9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36">
    <w:name w:val="Grid Table 4 - Accent 2"/>
    <w:basedOn w:val="9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37">
    <w:name w:val="Grid Table 4 - Accent 3"/>
    <w:basedOn w:val="9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38">
    <w:name w:val="Grid Table 4 - Accent 4"/>
    <w:basedOn w:val="9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39">
    <w:name w:val="Grid Table 4 - Accent 5"/>
    <w:basedOn w:val="9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40">
    <w:name w:val="Grid Table 4 - Accent 6"/>
    <w:basedOn w:val="9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41">
    <w:name w:val="Grid Table 5 Dark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2">
    <w:name w:val="Grid Table 5 Dark- Accent 1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43">
    <w:name w:val="Grid Table 5 Dark - Accent 2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44">
    <w:name w:val="Grid Table 5 Dark - Accent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45">
    <w:name w:val="Grid Table 5 Dark- Accent 4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46">
    <w:name w:val="Grid Table 5 Dark - Accent 5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47">
    <w:name w:val="Grid Table 5 Dark - Accent 6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48">
    <w:name w:val="Grid Table 6 Colorful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49">
    <w:name w:val="Grid Table 6 Colorful - Accent 1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50">
    <w:name w:val="Grid Table 6 Colorful - Accent 2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51">
    <w:name w:val="Grid Table 6 Colorful - Accent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52">
    <w:name w:val="Grid Table 6 Colorful - Accent 4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53">
    <w:name w:val="Grid Table 6 Colorful - Accent 5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54">
    <w:name w:val="Grid Table 6 Colorful - Accent 6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55">
    <w:name w:val="Grid Table 7 Colorful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6">
    <w:name w:val="Grid Table 7 Colorful - Accent 1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7">
    <w:name w:val="Grid Table 7 Colorful - Accent 2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8">
    <w:name w:val="Grid Table 7 Colorful - Accent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9">
    <w:name w:val="Grid Table 7 Colorful - Accent 4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0">
    <w:name w:val="Grid Table 7 Colorful - Accent 5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1">
    <w:name w:val="Grid Table 7 Colorful - Accent 6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2">
    <w:name w:val="List Table 1 Light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3">
    <w:name w:val="List Table 1 Light - Accent 1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4">
    <w:name w:val="List Table 1 Light - Accent 2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5">
    <w:name w:val="List Table 1 Light - Accent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6">
    <w:name w:val="List Table 1 Light - Accent 4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7">
    <w:name w:val="List Table 1 Light - Accent 5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8">
    <w:name w:val="List Table 1 Light - Accent 6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9">
    <w:name w:val="List Table 2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70">
    <w:name w:val="List Table 2 - Accent 1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71">
    <w:name w:val="List Table 2 - Accent 2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72">
    <w:name w:val="List Table 2 - Accent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73">
    <w:name w:val="List Table 2 - Accent 4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74">
    <w:name w:val="List Table 2 - Accent 5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75">
    <w:name w:val="List Table 2 - Accent 6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76">
    <w:name w:val="List Table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7">
    <w:name w:val="List Table 3 - Accent 1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8">
    <w:name w:val="List Table 3 - Accent 2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9">
    <w:name w:val="List Table 3 - Accent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0">
    <w:name w:val="List Table 3 - Accent 4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1">
    <w:name w:val="List Table 3 - Accent 5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2">
    <w:name w:val="List Table 3 - Accent 6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3">
    <w:name w:val="List Table 4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4">
    <w:name w:val="List Table 4 - Accent 1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5">
    <w:name w:val="List Table 4 - Accent 2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6">
    <w:name w:val="List Table 4 - Accent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7">
    <w:name w:val="List Table 4 - Accent 4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8">
    <w:name w:val="List Table 4 - Accent 5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9">
    <w:name w:val="List Table 4 - Accent 6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0">
    <w:name w:val="List Table 5 Dark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1">
    <w:name w:val="List Table 5 Dark - Accent 1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2">
    <w:name w:val="List Table 5 Dark - Accent 2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3">
    <w:name w:val="List Table 5 Dark - Accent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4">
    <w:name w:val="List Table 5 Dark - Accent 4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5">
    <w:name w:val="List Table 5 Dark - Accent 5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6">
    <w:name w:val="List Table 5 Dark - Accent 6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7">
    <w:name w:val="List Table 6 Colorful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98">
    <w:name w:val="List Table 6 Colorful - Accent 1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99">
    <w:name w:val="List Table 6 Colorful - Accent 2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900">
    <w:name w:val="List Table 6 Colorful - Accent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901">
    <w:name w:val="List Table 6 Colorful - Accent 4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902">
    <w:name w:val="List Table 6 Colorful - Accent 5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903">
    <w:name w:val="List Table 6 Colorful - Accent 6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904">
    <w:name w:val="List Table 7 Colorful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905">
    <w:name w:val="List Table 7 Colorful - Accent 1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906">
    <w:name w:val="List Table 7 Colorful - Accent 2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907">
    <w:name w:val="List Table 7 Colorful - Accent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908">
    <w:name w:val="List Table 7 Colorful - Accent 4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909">
    <w:name w:val="List Table 7 Colorful - Accent 5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910">
    <w:name w:val="List Table 7 Colorful - Accent 6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911">
    <w:name w:val="Lined - Accent"/>
    <w:basedOn w:val="9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12">
    <w:name w:val="Lined - Accent 1"/>
    <w:basedOn w:val="9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13">
    <w:name w:val="Lined - Accent 2"/>
    <w:basedOn w:val="9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14">
    <w:name w:val="Lined - Accent 3"/>
    <w:basedOn w:val="9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15">
    <w:name w:val="Lined - Accent 4"/>
    <w:basedOn w:val="9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16">
    <w:name w:val="Lined - Accent 5"/>
    <w:basedOn w:val="9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17">
    <w:name w:val="Lined - Accent 6"/>
    <w:basedOn w:val="9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18">
    <w:name w:val="Bordered &amp; Lined - Accent"/>
    <w:basedOn w:val="9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19">
    <w:name w:val="Bordered &amp; Lined - Accent 1"/>
    <w:basedOn w:val="9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20">
    <w:name w:val="Bordered &amp; Lined - Accent 2"/>
    <w:basedOn w:val="9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21">
    <w:name w:val="Bordered &amp; Lined - Accent 3"/>
    <w:basedOn w:val="9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22">
    <w:name w:val="Bordered &amp; Lined - Accent 4"/>
    <w:basedOn w:val="9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23">
    <w:name w:val="Bordered &amp; Lined - Accent 5"/>
    <w:basedOn w:val="9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24">
    <w:name w:val="Bordered &amp; Lined - Accent 6"/>
    <w:basedOn w:val="9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25">
    <w:name w:val="Bordered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26">
    <w:name w:val="Bordered - Accent 1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27">
    <w:name w:val="Bordered - Accent 2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28">
    <w:name w:val="Bordered - Accent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29">
    <w:name w:val="Bordered - Accent 4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30">
    <w:name w:val="Bordered - Accent 5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31">
    <w:name w:val="Bordered - Accent 6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932">
    <w:name w:val="footnote text"/>
    <w:basedOn w:val="949"/>
    <w:link w:val="933"/>
    <w:uiPriority w:val="99"/>
    <w:semiHidden/>
    <w:unhideWhenUsed/>
    <w:pPr>
      <w:spacing w:after="40" w:line="240" w:lineRule="auto"/>
    </w:pPr>
    <w:rPr>
      <w:sz w:val="18"/>
    </w:rPr>
  </w:style>
  <w:style w:type="character" w:styleId="933">
    <w:name w:val="Footnote Text Char"/>
    <w:link w:val="932"/>
    <w:uiPriority w:val="99"/>
    <w:rPr>
      <w:sz w:val="18"/>
    </w:rPr>
  </w:style>
  <w:style w:type="character" w:styleId="934">
    <w:name w:val="footnote reference"/>
    <w:basedOn w:val="950"/>
    <w:uiPriority w:val="99"/>
    <w:unhideWhenUsed/>
    <w:rPr>
      <w:vertAlign w:val="superscript"/>
    </w:rPr>
  </w:style>
  <w:style w:type="paragraph" w:styleId="935">
    <w:name w:val="endnote text"/>
    <w:basedOn w:val="949"/>
    <w:link w:val="936"/>
    <w:uiPriority w:val="99"/>
    <w:semiHidden/>
    <w:unhideWhenUsed/>
    <w:pPr>
      <w:spacing w:after="0" w:line="240" w:lineRule="auto"/>
    </w:pPr>
    <w:rPr>
      <w:sz w:val="20"/>
    </w:rPr>
  </w:style>
  <w:style w:type="character" w:styleId="936">
    <w:name w:val="Endnote Text Char"/>
    <w:link w:val="935"/>
    <w:uiPriority w:val="99"/>
    <w:rPr>
      <w:sz w:val="20"/>
    </w:rPr>
  </w:style>
  <w:style w:type="character" w:styleId="937">
    <w:name w:val="endnote reference"/>
    <w:basedOn w:val="950"/>
    <w:uiPriority w:val="99"/>
    <w:semiHidden/>
    <w:unhideWhenUsed/>
    <w:rPr>
      <w:vertAlign w:val="superscript"/>
    </w:rPr>
  </w:style>
  <w:style w:type="paragraph" w:styleId="938">
    <w:name w:val="toc 1"/>
    <w:basedOn w:val="949"/>
    <w:next w:val="949"/>
    <w:uiPriority w:val="39"/>
    <w:unhideWhenUsed/>
    <w:pPr>
      <w:ind w:left="0" w:right="0" w:firstLine="0"/>
      <w:spacing w:after="57"/>
    </w:pPr>
  </w:style>
  <w:style w:type="paragraph" w:styleId="939">
    <w:name w:val="toc 2"/>
    <w:basedOn w:val="949"/>
    <w:next w:val="949"/>
    <w:uiPriority w:val="39"/>
    <w:unhideWhenUsed/>
    <w:pPr>
      <w:ind w:left="283" w:right="0" w:firstLine="0"/>
      <w:spacing w:after="57"/>
    </w:pPr>
  </w:style>
  <w:style w:type="paragraph" w:styleId="940">
    <w:name w:val="toc 3"/>
    <w:basedOn w:val="949"/>
    <w:next w:val="949"/>
    <w:uiPriority w:val="39"/>
    <w:unhideWhenUsed/>
    <w:pPr>
      <w:ind w:left="567" w:right="0" w:firstLine="0"/>
      <w:spacing w:after="57"/>
    </w:pPr>
  </w:style>
  <w:style w:type="paragraph" w:styleId="941">
    <w:name w:val="toc 4"/>
    <w:basedOn w:val="949"/>
    <w:next w:val="949"/>
    <w:uiPriority w:val="39"/>
    <w:unhideWhenUsed/>
    <w:pPr>
      <w:ind w:left="850" w:right="0" w:firstLine="0"/>
      <w:spacing w:after="57"/>
    </w:pPr>
  </w:style>
  <w:style w:type="paragraph" w:styleId="942">
    <w:name w:val="toc 5"/>
    <w:basedOn w:val="949"/>
    <w:next w:val="949"/>
    <w:uiPriority w:val="39"/>
    <w:unhideWhenUsed/>
    <w:pPr>
      <w:ind w:left="1134" w:right="0" w:firstLine="0"/>
      <w:spacing w:after="57"/>
    </w:pPr>
  </w:style>
  <w:style w:type="paragraph" w:styleId="943">
    <w:name w:val="toc 6"/>
    <w:basedOn w:val="949"/>
    <w:next w:val="949"/>
    <w:uiPriority w:val="39"/>
    <w:unhideWhenUsed/>
    <w:pPr>
      <w:ind w:left="1417" w:right="0" w:firstLine="0"/>
      <w:spacing w:after="57"/>
    </w:pPr>
  </w:style>
  <w:style w:type="paragraph" w:styleId="944">
    <w:name w:val="toc 7"/>
    <w:basedOn w:val="949"/>
    <w:next w:val="949"/>
    <w:uiPriority w:val="39"/>
    <w:unhideWhenUsed/>
    <w:pPr>
      <w:ind w:left="1701" w:right="0" w:firstLine="0"/>
      <w:spacing w:after="57"/>
    </w:pPr>
  </w:style>
  <w:style w:type="paragraph" w:styleId="945">
    <w:name w:val="toc 8"/>
    <w:basedOn w:val="949"/>
    <w:next w:val="949"/>
    <w:uiPriority w:val="39"/>
    <w:unhideWhenUsed/>
    <w:pPr>
      <w:ind w:left="1984" w:right="0" w:firstLine="0"/>
      <w:spacing w:after="57"/>
    </w:pPr>
  </w:style>
  <w:style w:type="paragraph" w:styleId="946">
    <w:name w:val="toc 9"/>
    <w:basedOn w:val="949"/>
    <w:next w:val="949"/>
    <w:uiPriority w:val="39"/>
    <w:unhideWhenUsed/>
    <w:pPr>
      <w:ind w:left="2268" w:right="0" w:firstLine="0"/>
      <w:spacing w:after="57"/>
    </w:pPr>
  </w:style>
  <w:style w:type="paragraph" w:styleId="947">
    <w:name w:val="TOC Heading"/>
    <w:uiPriority w:val="39"/>
    <w:unhideWhenUsed/>
  </w:style>
  <w:style w:type="paragraph" w:styleId="948">
    <w:name w:val="table of figures"/>
    <w:basedOn w:val="949"/>
    <w:next w:val="949"/>
    <w:uiPriority w:val="99"/>
    <w:unhideWhenUsed/>
    <w:pPr>
      <w:spacing w:after="0" w:afterAutospacing="0"/>
    </w:pPr>
  </w:style>
  <w:style w:type="paragraph" w:styleId="949" w:default="1">
    <w:name w:val="Normal"/>
    <w:qFormat/>
  </w:style>
  <w:style w:type="character" w:styleId="950" w:default="1">
    <w:name w:val="Default Paragraph Font"/>
    <w:uiPriority w:val="1"/>
    <w:semiHidden/>
    <w:unhideWhenUsed/>
  </w:style>
  <w:style w:type="table" w:styleId="95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52" w:default="1">
    <w:name w:val="No List"/>
    <w:uiPriority w:val="99"/>
    <w:semiHidden/>
    <w:unhideWhenUsed/>
  </w:style>
  <w:style w:type="character" w:styleId="953">
    <w:name w:val="Hyperlink"/>
    <w:basedOn w:val="950"/>
    <w:uiPriority w:val="99"/>
    <w:unhideWhenUsed/>
    <w:rPr>
      <w:color w:val="0000ff" w:themeColor="hyperlink"/>
      <w:u w:val="single"/>
    </w:rPr>
  </w:style>
  <w:style w:type="paragraph" w:styleId="954">
    <w:name w:val="Balloon Text"/>
    <w:basedOn w:val="949"/>
    <w:link w:val="955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955" w:customStyle="1">
    <w:name w:val="Текст выноски Знак"/>
    <w:basedOn w:val="950"/>
    <w:link w:val="954"/>
    <w:uiPriority w:val="99"/>
    <w:semiHidden/>
    <w:rPr>
      <w:rFonts w:ascii="Tahoma" w:hAnsi="Tahoma" w:cs="Tahoma"/>
      <w:sz w:val="16"/>
      <w:szCs w:val="16"/>
    </w:rPr>
  </w:style>
  <w:style w:type="paragraph" w:styleId="956">
    <w:name w:val="List Paragraph"/>
    <w:basedOn w:val="949"/>
    <w:uiPriority w:val="34"/>
    <w:qFormat/>
    <w:pPr>
      <w:contextualSpacing/>
      <w:ind w:left="720"/>
    </w:pPr>
  </w:style>
  <w:style w:type="paragraph" w:styleId="957" w:customStyle="1">
    <w:name w:val="ConsPlusNonformat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958">
    <w:name w:val="Header"/>
    <w:basedOn w:val="949"/>
    <w:link w:val="959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59" w:customStyle="1">
    <w:name w:val="Верхний колонтитул Знак"/>
    <w:basedOn w:val="950"/>
    <w:link w:val="958"/>
    <w:uiPriority w:val="99"/>
  </w:style>
  <w:style w:type="paragraph" w:styleId="960">
    <w:name w:val="Footer"/>
    <w:basedOn w:val="949"/>
    <w:link w:val="961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61" w:customStyle="1">
    <w:name w:val="Нижний колонтитул Знак"/>
    <w:basedOn w:val="950"/>
    <w:link w:val="960"/>
    <w:uiPriority w:val="99"/>
  </w:style>
  <w:style w:type="table" w:styleId="962">
    <w:name w:val="Table Grid"/>
    <w:basedOn w:val="951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63" w:customStyle="1">
    <w:name w:val="ConsPlusNormal"/>
    <w:pPr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customXml" Target="../customXml/item1.xml" /><Relationship Id="rId15" Type="http://schemas.openxmlformats.org/officeDocument/2006/relationships/hyperlink" Target="consultantplus://offline/ref=DC41E2772540CE89436B920E86BEF4F9345B73C5B114AE3A8765A72052AFVDF" TargetMode="External"/><Relationship Id="rId16" Type="http://schemas.openxmlformats.org/officeDocument/2006/relationships/hyperlink" Target="consultantplus://offline/ref=DC41E2772540CE89436B920E86BEF4F9345B73C5B114AE3A8765A72052AFVDF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EAA351-6BA0-41E0-AE08-4007A5DF78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Р7-Офис/7.4.0.341</Application>
  <Company>Департамент труда и занятости населения НСО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revision>35</cp:revision>
  <dcterms:created xsi:type="dcterms:W3CDTF">2019-12-25T02:05:00Z</dcterms:created>
  <dcterms:modified xsi:type="dcterms:W3CDTF">2023-12-28T04:23:05Z</dcterms:modified>
</cp:coreProperties>
</file>