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footnotes.xml" ContentType="application/vnd.openxmlformats-officedocument.wordprocessingml.footnotes+xml"/>
  <Override PartName="/word/styles.xml" ContentType="application/vnd.openxmlformats-officedocument.wordprocessingml.styl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959"/>
        <w:ind w:left="5387"/>
        <w:jc w:val="center"/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/>
    </w:p>
    <w:p>
      <w:pPr>
        <w:pStyle w:val="959"/>
        <w:ind w:left="5387"/>
        <w:jc w:val="center"/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«УТВЕРЖДЕНО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/>
    </w:p>
    <w:p>
      <w:pPr>
        <w:pStyle w:val="959"/>
        <w:ind w:left="5387"/>
        <w:jc w:val="center"/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приказом Минобразования Новосибирской области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/>
    </w:p>
    <w:p>
      <w:pPr>
        <w:pStyle w:val="959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___________  № _____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9"/>
        <w:ind w:left="5387"/>
        <w:jc w:val="center"/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/>
    </w:p>
    <w:p>
      <w:pPr>
        <w:pStyle w:val="959"/>
        <w:ind w:left="5387"/>
        <w:jc w:val="center"/>
        <w:tabs>
          <w:tab w:val="left" w:pos="5670" w:leader="none"/>
        </w:tabs>
      </w:pP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</w:r>
      <w:r/>
    </w:p>
    <w:p>
      <w:pPr>
        <w:pStyle w:val="959"/>
        <w:ind w:left="5387"/>
        <w:jc w:val="center"/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Министр образования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/>
    </w:p>
    <w:p>
      <w:pPr>
        <w:pStyle w:val="959"/>
        <w:ind w:left="5387"/>
        <w:jc w:val="center"/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Новосибирской области</w:t>
      </w:r>
      <w:r>
        <w:rPr>
          <w:color w:val="000000" w:themeColor="text1"/>
          <w:sz w:val="28"/>
          <w:szCs w:val="28"/>
          <w:highlight w:val="white"/>
        </w:rPr>
      </w:r>
      <w:r/>
    </w:p>
    <w:p>
      <w:pPr>
        <w:pStyle w:val="959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color w:val="000000" w:themeColor="text1"/>
          <w:sz w:val="28"/>
          <w:szCs w:val="28"/>
          <w:highlight w:val="white"/>
        </w:rPr>
        <w:t xml:space="preserve">__________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М.Н. Жафярова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9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«___» ________20</w:t>
      </w:r>
      <w:r>
        <w:rPr>
          <w:rFonts w:ascii="Times New Roman" w:hAnsi="Times New Roman" w:cs="Times New Roman"/>
          <w:sz w:val="28"/>
          <w:szCs w:val="28"/>
        </w:rPr>
        <w:t xml:space="preserve">2</w:t>
      </w:r>
      <w:r>
        <w:rPr>
          <w:rFonts w:ascii="Times New Roman" w:hAnsi="Times New Roman" w:cs="Times New Roman"/>
          <w:sz w:val="28"/>
          <w:szCs w:val="28"/>
        </w:rPr>
        <w:t xml:space="preserve">3 г.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9"/>
        <w:ind w:left="5387"/>
        <w:jc w:val="center"/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/>
    </w:p>
    <w:p>
      <w:pPr>
        <w:pStyle w:val="959"/>
        <w:jc w:val="right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59"/>
        <w:jc w:val="right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5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ГОСУДАРСТВЕННОЕ ЗАДАНИЕ №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none"/>
        </w:rPr>
        <w:t xml:space="preserve">__</w:t>
      </w:r>
      <w:r>
        <w:rPr>
          <w:rFonts w:ascii="Times New Roman" w:hAnsi="Times New Roman" w:cs="Times New Roman"/>
          <w:b/>
          <w:sz w:val="28"/>
          <w:szCs w:val="28"/>
          <w:u w:val="none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95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95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  <w:t xml:space="preserve">на 20</w:t>
      </w:r>
      <w:r>
        <w:rPr>
          <w:rFonts w:ascii="Times New Roman" w:hAnsi="Times New Roman" w:cs="Times New Roman"/>
          <w:b/>
          <w:sz w:val="28"/>
          <w:szCs w:val="28"/>
        </w:rPr>
        <w:t xml:space="preserve">2</w:t>
      </w:r>
      <w:r>
        <w:rPr>
          <w:rFonts w:ascii="Times New Roman" w:hAnsi="Times New Roman" w:cs="Times New Roman"/>
          <w:b/>
          <w:sz w:val="28"/>
          <w:szCs w:val="28"/>
        </w:rPr>
        <w:t xml:space="preserve">4 год и на плановый период 202</w:t>
      </w:r>
      <w:r>
        <w:rPr>
          <w:rFonts w:ascii="Times New Roman" w:hAnsi="Times New Roman" w:cs="Times New Roman"/>
          <w:b/>
          <w:sz w:val="28"/>
          <w:szCs w:val="28"/>
        </w:rPr>
        <w:t xml:space="preserve">5 и 202</w:t>
      </w:r>
      <w:r>
        <w:rPr>
          <w:rFonts w:ascii="Times New Roman" w:hAnsi="Times New Roman" w:cs="Times New Roman"/>
          <w:b/>
          <w:sz w:val="28"/>
          <w:szCs w:val="28"/>
        </w:rPr>
        <w:t xml:space="preserve">6 годов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959"/>
        <w:jc w:val="center"/>
      </w:pPr>
      <w:r>
        <w:t xml:space="preserve">                                    </w:t>
      </w:r>
      <w:r/>
    </w:p>
    <w:tbl>
      <w:tblPr>
        <w:tblStyle w:val="964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>
        <w:trPr>
          <w:trHeight w:val="36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5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5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95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Коды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581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5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Наименование государственного учреждения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5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Новосибирской области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5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vMerge w:val="restart"/>
            <w:textDirection w:val="lrTb"/>
            <w:noWrap w:val="false"/>
          </w:tcPr>
          <w:p>
            <w:pPr>
              <w:pStyle w:val="95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Форма по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5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ОКУД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</w:tcBorders>
            <w:tcW w:w="1064" w:type="dxa"/>
            <w:vAlign w:val="center"/>
            <w:vMerge w:val="restart"/>
            <w:textDirection w:val="lrTb"/>
            <w:noWrap w:val="false"/>
          </w:tcPr>
          <w:p>
            <w:pPr>
              <w:pStyle w:val="95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0506001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36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59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Государственное </w:t>
            </w:r>
            <w:r>
              <w:rPr>
                <w:rFonts w:ascii="Times New Roman" w:hAnsi="Times New Roman" w:cs="Times New Roman"/>
                <w:b/>
              </w:rPr>
              <w:t xml:space="preserve">бюджетное</w:t>
            </w:r>
            <w:r>
              <w:rPr>
                <w:rFonts w:ascii="Times New Roman" w:hAnsi="Times New Roman" w:cs="Times New Roman"/>
                <w:b/>
              </w:rPr>
              <w:t xml:space="preserve"> профессиональное образовательное уч</w:t>
            </w:r>
            <w:r>
              <w:rPr>
                <w:rFonts w:ascii="Times New Roman" w:hAnsi="Times New Roman" w:cs="Times New Roman"/>
                <w:b/>
              </w:rPr>
              <w:t xml:space="preserve">реждение Новосибирской области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vMerge w:val="continue"/>
            <w:textDirection w:val="lrTb"/>
            <w:noWrap w:val="false"/>
          </w:tcPr>
          <w:p>
            <w:pPr>
              <w:pStyle w:val="95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</w:tcBorders>
            <w:tcW w:w="1064" w:type="dxa"/>
            <w:vMerge w:val="continue"/>
            <w:textDirection w:val="lrTb"/>
            <w:noWrap w:val="false"/>
          </w:tcPr>
          <w:p>
            <w:pPr>
              <w:pStyle w:val="95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555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59"/>
              <w:rPr>
                <w:rFonts w:ascii="Times New Roman" w:hAnsi="Times New Roman" w:cs="Times New Roman"/>
                <w:b/>
                <w:sz w:val="14"/>
              </w:rPr>
            </w:pPr>
            <w:r>
              <w:rPr>
                <w:rFonts w:ascii="Times New Roman" w:hAnsi="Times New Roman" w:cs="Times New Roman"/>
                <w:b/>
                <w:sz w:val="14"/>
              </w:rPr>
            </w:r>
            <w:r>
              <w:rPr>
                <w:rFonts w:ascii="Times New Roman" w:hAnsi="Times New Roman" w:cs="Times New Roman"/>
                <w:b/>
                <w:sz w:val="14"/>
              </w:rPr>
            </w:r>
            <w:r>
              <w:rPr>
                <w:rFonts w:ascii="Times New Roman" w:hAnsi="Times New Roman" w:cs="Times New Roman"/>
                <w:b/>
                <w:sz w:val="14"/>
              </w:rPr>
            </w:r>
          </w:p>
          <w:p>
            <w:pPr>
              <w:pStyle w:val="959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«Новосибирский </w:t>
            </w:r>
            <w:r>
              <w:rPr>
                <w:rFonts w:ascii="Times New Roman" w:hAnsi="Times New Roman" w:cs="Times New Roman"/>
                <w:b/>
              </w:rPr>
              <w:t xml:space="preserve">профессионально-педагогический</w:t>
            </w:r>
            <w:r>
              <w:rPr>
                <w:rFonts w:ascii="Times New Roman" w:hAnsi="Times New Roman" w:cs="Times New Roman"/>
                <w:b/>
              </w:rPr>
              <w:t xml:space="preserve"> колледж</w:t>
            </w:r>
            <w:r>
              <w:rPr>
                <w:rFonts w:ascii="Times New Roman" w:hAnsi="Times New Roman" w:cs="Times New Roman"/>
                <w:b/>
              </w:rPr>
              <w:t xml:space="preserve">»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5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Дата начала действия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95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555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59"/>
              <w:rPr>
                <w:rFonts w:ascii="Times New Roman" w:hAnsi="Times New Roman" w:cs="Times New Roman"/>
                <w:b/>
                <w:sz w:val="14"/>
              </w:rPr>
            </w:pPr>
            <w:r>
              <w:rPr>
                <w:rFonts w:ascii="Times New Roman" w:hAnsi="Times New Roman" w:cs="Times New Roman"/>
              </w:rPr>
              <w:t xml:space="preserve">Виды деятельности государственного учреждения Новосибирской  области</w:t>
            </w:r>
            <w:r>
              <w:rPr>
                <w:rFonts w:ascii="Times New Roman" w:hAnsi="Times New Roman" w:cs="Times New Roman"/>
                <w:b/>
                <w:sz w:val="14"/>
              </w:rPr>
            </w:r>
            <w:r>
              <w:rPr>
                <w:rFonts w:ascii="Times New Roman" w:hAnsi="Times New Roman" w:cs="Times New Roman"/>
                <w:b/>
                <w:sz w:val="1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5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Дата окончания действия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95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571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5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Код по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сводному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реестру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95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363"/>
        </w:trPr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38" w:type="dxa"/>
            <w:vAlign w:val="bottom"/>
            <w:textDirection w:val="lrTb"/>
            <w:noWrap w:val="false"/>
          </w:tcPr>
          <w:p>
            <w:pPr>
              <w:pStyle w:val="95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Образование и наука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5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ОКВЭД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64" w:type="dxa"/>
            <w:vAlign w:val="center"/>
            <w:textDirection w:val="lrTb"/>
            <w:noWrap w:val="false"/>
          </w:tcPr>
          <w:p>
            <w:pPr>
              <w:pStyle w:val="95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85.21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363"/>
        </w:trPr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38" w:type="dxa"/>
            <w:vAlign w:val="bottom"/>
            <w:textDirection w:val="lrTb"/>
            <w:noWrap w:val="false"/>
          </w:tcPr>
          <w:p>
            <w:pPr>
              <w:pStyle w:val="95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Вид государственного учреждения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5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ОКВЭД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95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323"/>
        </w:trPr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38" w:type="dxa"/>
            <w:vAlign w:val="bottom"/>
            <w:textDirection w:val="lrTb"/>
            <w:noWrap w:val="false"/>
          </w:tcPr>
          <w:p>
            <w:pPr>
              <w:pStyle w:val="95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Профессиональная образовательная организация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5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ОКВЭД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95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486"/>
        </w:trPr>
        <w:tc>
          <w:tcPr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5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(указывается вид деятельности государственного учреждения из базового (отраслевого) перечня или регионального перечня)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5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5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64" w:type="dxa"/>
            <w:textDirection w:val="lrTb"/>
            <w:noWrap w:val="false"/>
          </w:tcPr>
          <w:p>
            <w:pPr>
              <w:pStyle w:val="95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</w:tbl>
    <w:p>
      <w:pPr>
        <w:pStyle w:val="959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Часть </w:t>
      </w:r>
      <w:r>
        <w:rPr>
          <w:rFonts w:ascii="Times New Roman" w:hAnsi="Times New Roman" w:cs="Times New Roman"/>
          <w:lang w:val="en-US"/>
        </w:rPr>
        <w:t xml:space="preserve">I</w:t>
      </w:r>
      <w:r>
        <w:rPr>
          <w:rFonts w:ascii="Times New Roman" w:hAnsi="Times New Roman" w:cs="Times New Roman"/>
        </w:rPr>
        <w:t xml:space="preserve">. Сведения об оказываемых государственных услугах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59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59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Раздел 1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59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tbl>
      <w:tblPr>
        <w:tblStyle w:val="964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>
        <w:trPr>
          <w:trHeight w:val="239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5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right w:val="none" w:color="000000" w:sz="4" w:space="0"/>
            </w:tcBorders>
            <w:tcW w:w="155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Код по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базовому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(отраслевому)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перечню или региональному перечню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pStyle w:val="95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17" w:type="dxa"/>
            <w:textDirection w:val="lrTb"/>
            <w:noWrap w:val="false"/>
          </w:tcPr>
          <w:p>
            <w:pPr>
              <w:pStyle w:val="95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22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5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none" w:color="000000" w:sz="4" w:space="0"/>
              <w:right w:val="none" w:color="000000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5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1017" w:type="dxa"/>
            <w:textDirection w:val="lrTb"/>
            <w:noWrap w:val="false"/>
          </w:tcPr>
          <w:p>
            <w:pPr>
              <w:pStyle w:val="95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46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5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Реализация образовательных программ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5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среднего профессионального образования - программ подготовки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5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специалистов среднего звена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5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017" w:type="dxa"/>
            <w:vMerge w:val="restart"/>
            <w:textDirection w:val="lrTb"/>
            <w:noWrap w:val="false"/>
          </w:tcPr>
          <w:p>
            <w:pPr>
              <w:pStyle w:val="95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37.Д56.0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5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5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017" w:type="dxa"/>
            <w:vMerge w:val="continue"/>
            <w:textDirection w:val="lrTb"/>
            <w:noWrap w:val="false"/>
          </w:tcPr>
          <w:p>
            <w:pPr>
              <w:pStyle w:val="95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5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5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59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 xml:space="preserve">Ф</w:t>
            </w:r>
            <w:r>
              <w:rPr>
                <w:rFonts w:ascii="Times New Roman" w:hAnsi="Times New Roman" w:cs="Times New Roman"/>
              </w:rPr>
              <w:t xml:space="preserve">изические лица, имеющие основное общее образование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</w:p>
          <w:p>
            <w:pPr>
              <w:pStyle w:val="95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Физические лица, имеющие 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среднее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 общее образование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5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17" w:type="dxa"/>
            <w:vMerge w:val="continue"/>
            <w:textDirection w:val="lrTb"/>
            <w:noWrap w:val="false"/>
          </w:tcPr>
          <w:p>
            <w:pPr>
              <w:pStyle w:val="95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</w:tbl>
    <w:p>
      <w:pPr>
        <w:pStyle w:val="959"/>
        <w:rPr>
          <w:rFonts w:ascii="Times New Roman" w:hAnsi="Times New Roman" w:cs="Times New Roman"/>
        </w:rPr>
        <w:sectPr>
          <w:headerReference w:type="default" r:id="rId9"/>
          <w:footerReference w:type="default" r:id="rId12"/>
          <w:footerReference w:type="first" r:id="rId13"/>
          <w:footnotePr/>
          <w:endnotePr/>
          <w:type w:val="nextPage"/>
          <w:pgSz w:w="11906" w:h="16838" w:orient="portrait"/>
          <w:pgMar w:top="709" w:right="567" w:bottom="851" w:left="1418" w:header="720" w:footer="340" w:gutter="0"/>
          <w:cols w:num="1" w:sep="0" w:space="720" w:equalWidth="1"/>
          <w:docGrid w:linePitch="360"/>
          <w:titlePg/>
        </w:sect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59"/>
        <w:ind w:left="-567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3. Показатели, характеризующие объем и (или) качество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ind w:left="-567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ind w:left="-567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3.1. Показатели, характеризующие качество государственной услуги: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tbl>
      <w:tblPr>
        <w:tblW w:w="16018" w:type="dxa"/>
        <w:tblInd w:w="-6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134"/>
        <w:gridCol w:w="851"/>
        <w:gridCol w:w="992"/>
        <w:gridCol w:w="2693"/>
        <w:gridCol w:w="851"/>
        <w:gridCol w:w="709"/>
        <w:gridCol w:w="992"/>
        <w:gridCol w:w="992"/>
        <w:gridCol w:w="1134"/>
        <w:gridCol w:w="568"/>
        <w:gridCol w:w="568"/>
        <w:gridCol w:w="848"/>
      </w:tblGrid>
      <w:tr>
        <w:trPr>
          <w:trHeight w:val="99"/>
        </w:trPr>
        <w:tc>
          <w:tcPr>
            <w:tcW w:w="99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 номер реестровой записи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82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(по справочникам)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(по справочникам)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425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качества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1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показателя качества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13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Допустимые  (возможные)  отклонения  от  установленных показателей качества государственной услуги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Результаты оценки степени значимости показателя качества государственной услуги (в баллах)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46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827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84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5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 год (очередной финансовый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год (1-й год планового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год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(2-й год планового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процентах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абсолютных показателях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55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ind w:right="-23"/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вание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ОКЕИ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outlineLvl w:val="0"/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21"/>
        </w:trPr>
        <w:tc>
          <w:tcPr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4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5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6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2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7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8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9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10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11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12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5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13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5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14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84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15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</w:tr>
      <w:tr>
        <w:trPr>
          <w:trHeight w:val="105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852101О.99.0.ББ28УУ00000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44.02.06 Профессиональное обучение (по отраслям)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105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39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105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105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105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852101О.99.0.ББ28УУ24000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44.02.06 Профессиональное обучение (по отраслям)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Среднее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583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82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550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54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105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852101О.99.0.ББ28ИФ60000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21.02.06 Информационные системы обеспечения градостроительной деятельности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Среднее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583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8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550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r>
          </w:p>
        </w:tc>
      </w:tr>
      <w:tr>
        <w:trPr>
          <w:trHeight w:val="720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r>
          </w:p>
        </w:tc>
      </w:tr>
      <w:tr>
        <w:trPr>
          <w:trHeight w:val="398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ligatures w14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852100О.99.0.БО84ИР28000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ligatures w14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ligatures w14:val="none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14:ligatures w14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Среднее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общее образовани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14:ligatures w14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14:ligatures w14:val="none"/>
              </w:rPr>
            </w:r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ligatures w14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21.02.19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Землеустройство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ligatures w14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ligatures w14:val="none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ligatures w14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ligatures w14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ligatures w14:val="none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ligatures w14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ligatures w14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ligatures w14:val="none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ligatures w14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ligatures w14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ligatures w14:val="none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ligatures w14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ligatures w14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ligatures w14:val="none"/>
              </w:rPr>
            </w:r>
          </w:p>
        </w:tc>
        <w:tc>
          <w:tcPr>
            <w:tcW w:w="2693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4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rPr>
          <w:trHeight w:val="720"/>
        </w:trPr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693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4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rPr>
          <w:trHeight w:val="720"/>
        </w:trPr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693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4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rPr>
          <w:trHeight w:val="720"/>
        </w:trPr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693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4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rPr>
          <w:trHeight w:val="356"/>
        </w:trPr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693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4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rPr>
          <w:trHeight w:val="354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852101О.99.0.ББ28РК12000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35.02.12 Садово-парковое и ландшафтное строительство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54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852101О.99.0.ББ28ЧГ20002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10.02.05 Обеспечение информационной безопасности автоматизированных систем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54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852101О.99.0.ББ28ЧГ44002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10.02.05 Обеспечение информационной безопасности автоматизированных систем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Среднее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54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852101О.99.0.ББ28ЦЮ88002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09.02.07 Информационные системы и программирование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54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852101О.99.0.ББ28ФБ04000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49.02.02 Адаптивная физическая культура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Среднее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54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852101О.99.0.ББ28БШ12000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09.02.05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Прикладная информатика (по отраслям)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shd w:val="nil" w:color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  <w:br w:type="page" w:clear="all"/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3.2. Показатели, характеризующие объем государственной услуги:</w:t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tbl>
      <w:tblPr>
        <w:tblW w:w="16302" w:type="dxa"/>
        <w:tblInd w:w="-789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701"/>
        <w:gridCol w:w="1134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>
        <w:trPr>
          <w:trHeight w:val="56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 номер реест-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ровой записи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(по справочникам)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(по справочникам)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объема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показателя объема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Размер платы (цена, тариф)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Допустимые  (возможные)  отклонения  от  установленных показателей объема государственной услуги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57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(очеред-ной финан-совый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год (1-й год планово-го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год (2-й год планово-го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(очеред-ной финан-совый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год (1-й год планово-го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год (2-й год планово-го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процентах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абсолютных показателях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496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ind w:right="-23"/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наиме-нование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</w:t>
            </w:r>
            <w:hyperlink r:id="rId15" w:tooltip="consultantplus://offline/ref=DC41E2772540CE89436B920E86BEF4F9345B73C5B114AE3A8765A72052AFVDF" w:history="1">
              <w:r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21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11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12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13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14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408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852101О.99.0.ББ28УУ00000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44.02.06 Профессиональное обучение (по отраслям)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227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227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227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2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852101О.99.0.ББ28УУ24000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44.02.06 Профессиональное обучение (по отраслям)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Среднее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1443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852101О.99.0.ББ28ИФ60000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21.02.06 Информационные системы обеспечения градостроительной деятельности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Среднее 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49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49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49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82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852100О.99.0.БО84ИР28000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Среднее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общее образовани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е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21.02.19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Землеустройство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25</w:t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25</w:t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25</w:t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</w:p>
        </w:tc>
      </w:tr>
      <w:tr>
        <w:trPr>
          <w:trHeight w:val="2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852101О.99.0.ББ28РК12000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35.02.12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 xml:space="preserve">Садово-парковое и ландшафтное строительство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2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852101О.99.0.ББ28ЧГ20002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10.02.05 Обеспечение информационной безопасности автоматизированных систем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2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852101О.99.0.ББ28ЧГ44002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10.02.05 Обеспечение информационной безопасности автоматизированных систем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Среднее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2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852101О.99.0.ББ28ЦЮ88002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09.02.07 Информационные системы и программирование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2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852101О.99.0.ББ28ФБ04000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49.02.02 Адаптивная физическая культура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Среднее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2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852101О.99.0.ББ28БШ12000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09.02.05 Прикладная информатика (по отраслям)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28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28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28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</w:tbl>
    <w:p>
      <w:pPr>
        <w:pStyle w:val="959"/>
        <w:rPr>
          <w:rFonts w:ascii="Times New Roman" w:hAnsi="Times New Roman" w:cs="Times New Roman"/>
          <w:color w:val="000000" w:themeColor="text1"/>
          <w:sz w:val="4"/>
        </w:rPr>
      </w:pPr>
      <w:r>
        <w:rPr>
          <w:rFonts w:ascii="Times New Roman" w:hAnsi="Times New Roman" w:cs="Times New Roman"/>
          <w:color w:val="000000" w:themeColor="text1"/>
          <w:sz w:val="4"/>
        </w:rPr>
      </w:r>
      <w:r>
        <w:rPr>
          <w:rFonts w:ascii="Times New Roman" w:hAnsi="Times New Roman" w:cs="Times New Roman"/>
          <w:color w:val="000000" w:themeColor="text1"/>
          <w:sz w:val="4"/>
        </w:rPr>
      </w:r>
      <w:r>
        <w:rPr>
          <w:rFonts w:ascii="Times New Roman" w:hAnsi="Times New Roman" w:cs="Times New Roman"/>
          <w:color w:val="000000" w:themeColor="text1"/>
          <w:sz w:val="4"/>
        </w:rPr>
      </w:r>
    </w:p>
    <w:p>
      <w:pPr>
        <w:pStyle w:val="959"/>
        <w:jc w:val="center"/>
        <w:rPr>
          <w:color w:val="ff0000"/>
        </w:rPr>
        <w:sectPr>
          <w:footnotePr/>
          <w:endnotePr/>
          <w:type w:val="nextPage"/>
          <w:pgSz w:w="16838" w:h="11906" w:orient="landscape"/>
          <w:pgMar w:top="567" w:right="567" w:bottom="851" w:left="1134" w:header="340" w:footer="567" w:gutter="0"/>
          <w:cols w:num="1" w:sep="0" w:space="720" w:equalWidth="1"/>
          <w:docGrid w:linePitch="360"/>
          <w:titlePg/>
        </w:sectPr>
      </w:pPr>
      <w:r>
        <w:rPr>
          <w:color w:val="ff0000"/>
        </w:rPr>
      </w:r>
      <w:r>
        <w:rPr>
          <w:color w:val="ff0000"/>
        </w:rPr>
      </w:r>
      <w:r>
        <w:rPr>
          <w:color w:val="ff0000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4. Нормативные правовые акты, устанавливающие размер платы (цену, тариф) либо порядок ее (его) установления: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W w:w="0" w:type="auto"/>
        <w:tblInd w:w="62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>
        <w:trPr/>
        <w:tc>
          <w:tcPr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61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Нормативный правовой акт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вид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принявший орган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дата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номер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4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5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  <w:outlineLvl w:val="0"/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 Порядок оказания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5.1. Нормативные правовые акты, регулирующие порядок оказания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>
        <w:trPr>
          <w:trHeight w:val="57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Федеральный закон от 29.12.2012 № 273-ФЗ «Об образовании в Российской Федерации»;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rPr>
          <w:trHeight w:val="661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1"/>
                <w:szCs w:val="21"/>
              </w:rPr>
              <w:t xml:space="preserve">Федеральный закон от 21.12.2021 № 414-ФЗ «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1"/>
                <w:szCs w:val="21"/>
              </w:rPr>
              <w:t xml:space="preserve">Об общих принципах организации публичной власти в субъектах Российской Федерации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1"/>
                <w:szCs w:val="21"/>
              </w:rPr>
              <w:t xml:space="preserve">»;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rPr>
          <w:trHeight w:val="73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Закон Новосибирской области от 05.07.2013 № 361-ОЗ «О регулировании отношений в сфере образования в Новосибирской области»;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rPr>
          <w:trHeight w:val="73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Приказ Минобрнауки РФ от 29.10.2013 № 1199 «Об утверждении перечней профессий и специальностей среднего профессионального образования».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rPr>
          <w:trHeight w:val="735"/>
        </w:trPr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1"/>
                <w:szCs w:val="21"/>
              </w:rPr>
              <w:t xml:space="preserve">Приказ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Министерства просвещен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ия Российской Федерации от 17.05.2022 № 336 «Об утверждении перечней профессий и специальностей среднего профессионального образования и установлении соответствия отдельных профессий и специальностей среднего профессионального образования, указанных в этих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перечнях, профессиям и 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специальностям среднего профессионального образования, перечни которых утверждены приказом министерства образования и науки Российской Федерации от 29.10.2013 №1199 «Об у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тверждении перечней профессий и 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специальностей среднего профессионального образования»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1"/>
                <w:szCs w:val="21"/>
              </w:rPr>
              <w:t xml:space="preserve">.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1"/>
                <w:szCs w:val="2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1"/>
                <w:szCs w:val="21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5.2.  Порядок  информирования  потенциальных потребителей 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W w:w="0" w:type="auto"/>
        <w:tblInd w:w="6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>
        <w:trPr/>
        <w:tc>
          <w:tcPr>
            <w:tcW w:w="3193" w:type="dxa"/>
            <w:textDirection w:val="lrTb"/>
            <w:noWrap w:val="false"/>
          </w:tcPr>
          <w:p>
            <w:pPr>
              <w:pStyle w:val="965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Способ информирования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65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Состав размещаемой информации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65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Частота обновления информации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</w:tr>
      <w:tr>
        <w:trPr/>
        <w:tc>
          <w:tcPr>
            <w:tcW w:w="3193" w:type="dxa"/>
            <w:textDirection w:val="lrTb"/>
            <w:noWrap w:val="false"/>
          </w:tcPr>
          <w:p>
            <w:pPr>
              <w:pStyle w:val="965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1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65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2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65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3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на сайте профессиональной образовательной организации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соответствии с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Постановлением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Правительства РФ от 20.10.2021 № 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1802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"Об утверждении Правил размещения на официальном сайте образо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вательной организации в информационно-телекоммуникационной сети "Интернет" и обновления информации об образовательной организации, а также о признании утратившими силу некоторых актов и отдельных положений некоторых актов Правительства Российской Федерации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средствах массовой информации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необходимости обязательного предварительного медицинского осмотра; информация о наличии общежития; контактная информация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справочниках, буклетах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 мере необходимости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на информационных стендах профессиональной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образовательной организации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 мере необходимости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Профориентационная работа в школах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pStyle w:val="959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shd w:val="nil" w:color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highlight w:val="none"/>
        </w:rPr>
        <w:br w:type="page" w:clear="all"/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59"/>
        <w:jc w:val="center"/>
        <w:rPr>
          <w:rFonts w:ascii="Times New Roman" w:hAnsi="Times New Roman" w:cs="Times New Roman"/>
          <w:color w:val="000000" w:themeColor="text1"/>
          <w:highlight w:val="none"/>
        </w:rPr>
      </w:pPr>
      <w:r>
        <w:rPr>
          <w:rFonts w:ascii="Times New Roman" w:hAnsi="Times New Roman" w:cs="Times New Roman"/>
          <w:color w:val="000000" w:themeColor="text1"/>
        </w:rPr>
        <w:t xml:space="preserve">Раздел 2</w:t>
      </w:r>
      <w:r>
        <w:rPr>
          <w:rFonts w:ascii="Times New Roman" w:hAnsi="Times New Roman" w:cs="Times New Roman"/>
          <w:color w:val="000000" w:themeColor="text1"/>
          <w:highlight w:val="none"/>
        </w:rPr>
      </w:r>
      <w:r>
        <w:rPr>
          <w:rFonts w:ascii="Times New Roman" w:hAnsi="Times New Roman" w:cs="Times New Roman"/>
          <w:color w:val="000000" w:themeColor="text1"/>
          <w:highlight w:val="none"/>
        </w:rPr>
      </w:r>
    </w:p>
    <w:p>
      <w:pPr>
        <w:pStyle w:val="959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Style w:val="964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>
        <w:trPr>
          <w:trHeight w:val="239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59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1. Наименование государственной услуги           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right w:val="none" w:color="000000" w:sz="4" w:space="0"/>
            </w:tcBorders>
            <w:tcW w:w="155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Код по</w:t>
            </w: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</w:r>
          </w:p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базовому</w:t>
            </w: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</w:r>
          </w:p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(отраслевому)</w:t>
            </w: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</w:r>
          </w:p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перечню или региональному перечню</w:t>
            </w: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</w:r>
          </w:p>
          <w:p>
            <w:pPr>
              <w:pStyle w:val="95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17" w:type="dxa"/>
            <w:textDirection w:val="lrTb"/>
            <w:noWrap w:val="false"/>
          </w:tcPr>
          <w:p>
            <w:pPr>
              <w:pStyle w:val="959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rPr>
          <w:trHeight w:val="22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59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none" w:color="000000" w:sz="4" w:space="0"/>
              <w:right w:val="none" w:color="000000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59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1017" w:type="dxa"/>
            <w:textDirection w:val="lrTb"/>
            <w:noWrap w:val="false"/>
          </w:tcPr>
          <w:p>
            <w:pPr>
              <w:pStyle w:val="959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rPr>
          <w:trHeight w:val="46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59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Реализация образовательных программ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pStyle w:val="959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среднего профессионального образования - программ подготовки квалифицированных рабочих, служащих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59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017" w:type="dxa"/>
            <w:vMerge w:val="restart"/>
            <w:textDirection w:val="lrTb"/>
            <w:noWrap w:val="false"/>
          </w:tcPr>
          <w:p>
            <w:pPr>
              <w:pStyle w:val="959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37.Д57.0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59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59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017" w:type="dxa"/>
            <w:vMerge w:val="continue"/>
            <w:textDirection w:val="lrTb"/>
            <w:noWrap w:val="false"/>
          </w:tcPr>
          <w:p>
            <w:pPr>
              <w:pStyle w:val="959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59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2. Категории потребителей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pStyle w:val="959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pStyle w:val="959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Физические лица, имеющие основное общее образование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  <w:p>
            <w:pPr>
              <w:pStyle w:val="959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Физические лица, имеющие среднее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59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17" w:type="dxa"/>
            <w:vMerge w:val="continue"/>
            <w:textDirection w:val="lrTb"/>
            <w:noWrap w:val="false"/>
          </w:tcPr>
          <w:p>
            <w:pPr>
              <w:pStyle w:val="959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</w:tbl>
    <w:p>
      <w:pPr>
        <w:pStyle w:val="959"/>
        <w:rPr>
          <w:rFonts w:ascii="Times New Roman" w:hAnsi="Times New Roman" w:cs="Times New Roman"/>
          <w:color w:val="ff0000"/>
        </w:rPr>
        <w:sectPr>
          <w:headerReference w:type="default" r:id="rId10"/>
          <w:footnotePr/>
          <w:endnotePr/>
          <w:type w:val="nextPage"/>
          <w:pgSz w:w="11906" w:h="16838" w:orient="portrait"/>
          <w:pgMar w:top="1134" w:right="567" w:bottom="1134" w:left="1418" w:header="720" w:footer="720" w:gutter="0"/>
          <w:cols w:num="1" w:sep="0" w:space="720" w:equalWidth="1"/>
          <w:docGrid w:linePitch="360"/>
          <w:titlePg/>
        </w:sectPr>
      </w:pPr>
      <w:r>
        <w:rPr>
          <w:rFonts w:ascii="Times New Roman" w:hAnsi="Times New Roman" w:cs="Times New Roman"/>
          <w:color w:val="ff0000"/>
        </w:rPr>
      </w:r>
      <w:r>
        <w:rPr>
          <w:rFonts w:ascii="Times New Roman" w:hAnsi="Times New Roman" w:cs="Times New Roman"/>
          <w:color w:val="ff0000"/>
        </w:rPr>
      </w:r>
      <w:r>
        <w:rPr>
          <w:rFonts w:ascii="Times New Roman" w:hAnsi="Times New Roman" w:cs="Times New Roman"/>
          <w:color w:val="ff0000"/>
        </w:rPr>
      </w:r>
    </w:p>
    <w:p>
      <w:pPr>
        <w:pStyle w:val="959"/>
        <w:ind w:left="-567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3. Показатели, характеризующие объем и (или) качество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ind w:left="-567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ind w:left="-567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3.1. Показатели, характеризующие качество государственной услуги: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tbl>
      <w:tblPr>
        <w:tblW w:w="16018" w:type="dxa"/>
        <w:tblInd w:w="-6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418"/>
        <w:gridCol w:w="1134"/>
        <w:gridCol w:w="992"/>
        <w:gridCol w:w="992"/>
        <w:gridCol w:w="2835"/>
        <w:gridCol w:w="850"/>
        <w:gridCol w:w="709"/>
        <w:gridCol w:w="992"/>
        <w:gridCol w:w="992"/>
        <w:gridCol w:w="1134"/>
        <w:gridCol w:w="568"/>
        <w:gridCol w:w="568"/>
        <w:gridCol w:w="849"/>
      </w:tblGrid>
      <w:tr>
        <w:trPr>
          <w:trHeight w:val="99"/>
        </w:trPr>
        <w:tc>
          <w:tcPr>
            <w:tcW w:w="99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 номер реестровой записи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54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(по справочникам)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98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(по справочникам)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439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качества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1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показателя качества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13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Допустимые  (возможные)  отклонения  от  установленных показателей качества государственной услуги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Результаты оценки степени значимости показателя качества государственной услуги (в баллах)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46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54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98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5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год (очередной финансовый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год (1-й год планового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год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(2-й год планового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процентах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абсолютных показателях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55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ind w:right="-23"/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вание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ОКЕИ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outlineLvl w:val="0"/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21"/>
        </w:trPr>
        <w:tc>
          <w:tcPr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4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5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6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283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7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8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9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10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11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12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5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13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5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14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84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15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</w:tr>
      <w:tr>
        <w:trPr>
          <w:trHeight w:val="105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852101О.99.0.ББ29БП72000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41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09.01.03 Мастер по обработке цифровой информации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rPr>
          <w:trHeight w:val="583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rPr>
          <w:trHeight w:val="38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rPr>
          <w:trHeight w:val="550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rPr>
          <w:trHeight w:val="354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852100О.99.0.БО83БГ68000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41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  <w:vertAlign w:val="baseline"/>
              </w:rPr>
              <w:t xml:space="preserve">09.01.03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Оператор информационных систем и ресурсов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  <w:vertAlign w:val="baseli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Не указано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  <w:vertAlign w:val="baseline"/>
              </w:rPr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rPr>
          <w:trHeight w:val="1006"/>
        </w:trPr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highlight w:val="none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highlight w:val="none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rPr>
          <w:trHeight w:val="354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852100О.99.0.БО83БГ92000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Среднее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общее образовани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41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09.01.03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Оператор информационных систем и ресурсов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Не указано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Очная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</w:tr>
    </w:tbl>
    <w:p>
      <w:pPr>
        <w:shd w:val="nil" w:color="auto"/>
        <w:rPr>
          <w:rFonts w:ascii="Times New Roman" w:hAnsi="Times New Roman" w:cs="Times New Roman"/>
          <w:color w:val="000000" w:themeColor="text1"/>
          <w:sz w:val="18"/>
          <w:szCs w:val="18"/>
        </w:rPr>
      </w:pPr>
      <w:r>
        <w:rPr>
          <w:rFonts w:ascii="Times New Roman" w:hAnsi="Times New Roman" w:cs="Times New Roman"/>
          <w:color w:val="000000" w:themeColor="text1"/>
          <w:sz w:val="18"/>
          <w:szCs w:val="18"/>
          <w:highlight w:val="none"/>
        </w:rPr>
        <w:br w:type="page" w:clear="all"/>
      </w:r>
      <w:r>
        <w:rPr>
          <w:rFonts w:ascii="Times New Roman" w:hAnsi="Times New Roman" w:cs="Times New Roman"/>
          <w:color w:val="000000" w:themeColor="text1"/>
          <w:sz w:val="18"/>
          <w:szCs w:val="18"/>
        </w:rPr>
      </w:r>
      <w:r>
        <w:rPr>
          <w:rFonts w:ascii="Times New Roman" w:hAnsi="Times New Roman" w:cs="Times New Roman"/>
          <w:color w:val="000000" w:themeColor="text1"/>
          <w:sz w:val="18"/>
          <w:szCs w:val="18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3.2. Показатели, характеризующие объем государственной услуги:</w:t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tbl>
      <w:tblPr>
        <w:tblW w:w="16302" w:type="dxa"/>
        <w:tblInd w:w="-789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276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>
        <w:trPr>
          <w:trHeight w:val="56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 номер реест-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ровой записи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(по справочникам)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(по справочникам)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объема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показателя объема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Размер платы (цена, тариф)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Допустимые  (возможные)  отклонения  от  установленных показателей объема государственной услуги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57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(очеред-ной финан-совый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год (1-й год планово-го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год (2-й год планово-го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(очеред-ной финан-совый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год (1-й год планово-го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год (2-й год планово-го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процентах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абсолютных показателях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49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ind w:right="-23"/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наиме-нование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</w:t>
            </w:r>
            <w:hyperlink r:id="rId16" w:tooltip="consultantplus://offline/ref=DC41E2772540CE89436B920E86BEF4F9345B73C5B114AE3A8765A72052AFVDF" w:history="1">
              <w:r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21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11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12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13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14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2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852101О.99.0.ББ29БП72000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09.01.03 Мастер по обработке цифровой информации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26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26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26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rPr>
          <w:trHeight w:val="32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852100О.99.0.БО83БГ68000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09.01.03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Оператор информационных систем и ресурсов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Не указано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Очная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26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26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26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rPr>
          <w:trHeight w:val="32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852100О.99.0.БО83БГ92000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Среднее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общее образовани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09.01.03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Оператор информационных систем и ресурсов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Не указано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Очная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25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25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25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</w:tr>
    </w:tbl>
    <w:p>
      <w:pPr>
        <w:pStyle w:val="959"/>
        <w:jc w:val="center"/>
        <w:rPr>
          <w:rFonts w:ascii="Times New Roman" w:hAnsi="Times New Roman" w:cs="Times New Roman"/>
          <w:color w:val="ff0000"/>
          <w:sz w:val="4"/>
        </w:rPr>
      </w:pPr>
      <w:r>
        <w:rPr>
          <w:rFonts w:ascii="Times New Roman" w:hAnsi="Times New Roman" w:cs="Times New Roman"/>
          <w:color w:val="ff0000"/>
          <w:sz w:val="4"/>
        </w:rPr>
      </w:r>
      <w:r>
        <w:rPr>
          <w:rFonts w:ascii="Times New Roman" w:hAnsi="Times New Roman" w:cs="Times New Roman"/>
          <w:color w:val="ff0000"/>
          <w:sz w:val="4"/>
        </w:rPr>
      </w:r>
      <w:r>
        <w:rPr>
          <w:rFonts w:ascii="Times New Roman" w:hAnsi="Times New Roman" w:cs="Times New Roman"/>
          <w:color w:val="ff0000"/>
          <w:sz w:val="4"/>
        </w:rPr>
      </w:r>
    </w:p>
    <w:p>
      <w:pPr>
        <w:pStyle w:val="959"/>
        <w:jc w:val="center"/>
        <w:rPr>
          <w:color w:val="ff0000"/>
        </w:rPr>
        <w:sectPr>
          <w:footnotePr/>
          <w:endnotePr/>
          <w:type w:val="nextPage"/>
          <w:pgSz w:w="16838" w:h="11906" w:orient="landscape"/>
          <w:pgMar w:top="709" w:right="567" w:bottom="851" w:left="1134" w:header="454" w:footer="720" w:gutter="0"/>
          <w:cols w:num="1" w:sep="0" w:space="720" w:equalWidth="1"/>
          <w:docGrid w:linePitch="360"/>
          <w:titlePg/>
        </w:sectPr>
      </w:pPr>
      <w:r>
        <w:rPr>
          <w:color w:val="ff0000"/>
        </w:rPr>
      </w:r>
      <w:r>
        <w:rPr>
          <w:color w:val="ff0000"/>
        </w:rPr>
      </w:r>
      <w:r>
        <w:rPr>
          <w:color w:val="ff0000"/>
        </w:rPr>
      </w:r>
    </w:p>
    <w:p>
      <w:pPr>
        <w:pStyle w:val="959"/>
        <w:jc w:val="center"/>
        <w:rPr>
          <w:rFonts w:ascii="Times New Roman" w:hAnsi="Times New Roman" w:cs="Times New Roman"/>
          <w:color w:val="ff0000"/>
          <w:szCs w:val="22"/>
        </w:rPr>
      </w:pPr>
      <w:r>
        <w:rPr>
          <w:rFonts w:ascii="Times New Roman" w:hAnsi="Times New Roman" w:cs="Times New Roman"/>
          <w:color w:val="ff0000"/>
          <w:szCs w:val="22"/>
        </w:rPr>
      </w:r>
      <w:r>
        <w:rPr>
          <w:rFonts w:ascii="Times New Roman" w:hAnsi="Times New Roman" w:cs="Times New Roman"/>
          <w:color w:val="ff0000"/>
          <w:szCs w:val="22"/>
        </w:rPr>
      </w:r>
      <w:r>
        <w:rPr>
          <w:rFonts w:ascii="Times New Roman" w:hAnsi="Times New Roman" w:cs="Times New Roman"/>
          <w:color w:val="ff0000"/>
          <w:szCs w:val="22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4. Нормативные правовые акты, устанавливающие размер платы (цену, тариф) либо порядок ее (его) установления: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W w:w="0" w:type="auto"/>
        <w:tblInd w:w="62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>
        <w:trPr/>
        <w:tc>
          <w:tcPr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61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Нормативный правовой акт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вид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принявший орган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дата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номер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4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5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  <w:outlineLvl w:val="0"/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 Порядок оказания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5.1. Нормативные правовые акты, регулирующие порядок оказания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>
        <w:trPr>
          <w:trHeight w:val="57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Федеральный закон от 29.12.2012 № 273-ФЗ «Об образовании в Российской Федерации»;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rPr>
          <w:trHeight w:val="71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Федеральный закон от 21.12.2021 № 414-ФЗ «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Об общих принципах организации публичной власти в субъектах Российской Федерации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»;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</w:tr>
      <w:tr>
        <w:trPr>
          <w:trHeight w:val="73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Закон Новосибирской области от 05.07.2013 № 361-ОЗ «О регулировании отношений в сфере образования в Новосибирской области»;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rPr>
          <w:trHeight w:val="73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Приказ Минобрнауки РФ от 29.10.2013 № 1199 «Об утверждении перечней профессий и специальностей среднего профессионального образования».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rPr>
          <w:trHeight w:val="735"/>
        </w:trPr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1"/>
                <w:szCs w:val="21"/>
              </w:rPr>
              <w:t xml:space="preserve">Приказ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Министерства просвещен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ия Российской Федерации от 17.05.2022 № 336 «Об утверждении перечней профессий и специальностей среднего профессионального образования и установлении соответствия отдельных профессий и специальностей среднего профессионального образования, указанных в этих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перечнях, профессиям и 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специальностям среднего профессионального образования, перечни которых утверждены приказом министерства образования и науки Российской Федерации от 29.10.2013 №1199 «Об у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тверждении перечней профессий и 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специальностей среднего профессионального образования»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1"/>
                <w:szCs w:val="21"/>
              </w:rPr>
              <w:t xml:space="preserve">.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1"/>
                <w:szCs w:val="2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1"/>
                <w:szCs w:val="21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5.2.  Порядок  информирования  потенциальных  потребителей 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W w:w="0" w:type="auto"/>
        <w:tblInd w:w="6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>
        <w:trPr/>
        <w:tc>
          <w:tcPr>
            <w:tcW w:w="3193" w:type="dxa"/>
            <w:textDirection w:val="lrTb"/>
            <w:noWrap w:val="false"/>
          </w:tcPr>
          <w:p>
            <w:pPr>
              <w:pStyle w:val="965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Способ информирования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65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Состав размещаемой информации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65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Частота обновления информации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</w:tr>
      <w:tr>
        <w:trPr/>
        <w:tc>
          <w:tcPr>
            <w:tcW w:w="3193" w:type="dxa"/>
            <w:textDirection w:val="lrTb"/>
            <w:noWrap w:val="false"/>
          </w:tcPr>
          <w:p>
            <w:pPr>
              <w:pStyle w:val="965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1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65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2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65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3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на сайте профессиональной образовательной организации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соответствии с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Постановлением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Правительства РФ от 20.10.2021 № 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1802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"Об утверждении Правил размещения на официальном сайте образо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вательной организации в информационно-телекоммуникационной сети "Интернет" и обновления информации об образовательной организации, а также о признании утратившими силу некоторых актов и отдельных положений некоторых актов Правительства Российской Федерации</w:t>
            </w:r>
            <w:bookmarkStart w:id="0" w:name="_GoBack"/>
            <w:r/>
            <w:bookmarkEnd w:id="0"/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средствах массовой информации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необходимости обязательного предварительного медицинского осмотра; информация о наличии общежития; контактная информация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справочниках, буклетах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 мере необходимости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на информационных стендах профессиональной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образовательной организации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 мере необходимости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Профориентационная работа в школах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</w:tbl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Часть </w:t>
      </w:r>
      <w:r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 xml:space="preserve">III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. Прочие сведения о государственном задании</w:t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pStyle w:val="959"/>
        <w:jc w:val="center"/>
        <w:rPr>
          <w:color w:val="000000" w:themeColor="text1"/>
          <w:sz w:val="18"/>
          <w:szCs w:val="18"/>
        </w:rPr>
      </w:pPr>
      <w:r>
        <w:rPr>
          <w:color w:val="000000" w:themeColor="text1"/>
          <w:sz w:val="18"/>
          <w:szCs w:val="18"/>
        </w:rPr>
      </w:r>
      <w:r>
        <w:rPr>
          <w:color w:val="000000" w:themeColor="text1"/>
          <w:sz w:val="18"/>
          <w:szCs w:val="18"/>
        </w:rPr>
      </w:r>
      <w:r>
        <w:rPr>
          <w:color w:val="000000" w:themeColor="text1"/>
          <w:sz w:val="18"/>
          <w:szCs w:val="18"/>
        </w:rPr>
      </w:r>
    </w:p>
    <w:p>
      <w:pPr>
        <w:pStyle w:val="959"/>
        <w:jc w:val="center"/>
        <w:rPr>
          <w:color w:val="000000" w:themeColor="text1"/>
          <w:sz w:val="18"/>
          <w:szCs w:val="18"/>
        </w:rPr>
      </w:pPr>
      <w:r>
        <w:rPr>
          <w:color w:val="000000" w:themeColor="text1"/>
          <w:sz w:val="18"/>
          <w:szCs w:val="18"/>
        </w:rPr>
      </w:r>
      <w:r>
        <w:rPr>
          <w:color w:val="000000" w:themeColor="text1"/>
          <w:sz w:val="18"/>
          <w:szCs w:val="18"/>
        </w:rPr>
      </w:r>
      <w:r>
        <w:rPr>
          <w:color w:val="000000" w:themeColor="text1"/>
          <w:sz w:val="18"/>
          <w:szCs w:val="18"/>
        </w:rPr>
      </w:r>
    </w:p>
    <w:p>
      <w:pPr>
        <w:pStyle w:val="958"/>
        <w:numPr>
          <w:ilvl w:val="0"/>
          <w:numId w:val="16"/>
        </w:numPr>
        <w:ind w:left="284" w:hanging="284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Основания (условия и порядок) для досрочного прекращения выполнения государственного задания 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eastAsia="Times New Roman" w:cs="Times New Roman"/>
          <w:color w:val="000000" w:themeColor="text1"/>
          <w:sz w:val="20"/>
          <w:szCs w:val="20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Выполнение государственного задания завершается по окончании финансового года. </w:t>
      </w: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Досрочное прекращение государственного задания возможно при следующих условиях:</w:t>
      </w: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- ликвидации, реорганизации профессионального образовательного учреждения;</w:t>
      </w: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- исключение государственной услуги из Базового (отраслевого) или регионального перечня государственных услуг (работ);</w:t>
      </w: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- иные основания, предусмотренные законодательством.</w:t>
      </w: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eastAsia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eastAsia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eastAsia="Times New Roman" w:cs="Times New Roman"/>
          <w:color w:val="000000" w:themeColor="text1"/>
          <w:sz w:val="20"/>
          <w:szCs w:val="20"/>
        </w:rPr>
      </w:r>
    </w:p>
    <w:p>
      <w:pPr>
        <w:pStyle w:val="959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2.  Иная информация, необходимая для выполнения (контроля за выполнением)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59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государственного задания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jc w:val="both"/>
        <w:spacing w:after="0" w:line="240" w:lineRule="auto"/>
        <w:rPr>
          <w:rFonts w:ascii="Times New Roman" w:hAnsi="Times New Roman" w:eastAsia="Calibri" w:cs="Times New Roman"/>
          <w:color w:val="000000" w:themeColor="text1"/>
        </w:rPr>
      </w:pPr>
      <w:r>
        <w:rPr>
          <w:rFonts w:ascii="Times New Roman" w:hAnsi="Times New Roman" w:eastAsia="Calibri" w:cs="Times New Roman"/>
          <w:color w:val="000000" w:themeColor="text1"/>
        </w:rPr>
        <w:t xml:space="preserve">Иная информация не требуется.</w:t>
      </w:r>
      <w:r>
        <w:rPr>
          <w:rFonts w:ascii="Times New Roman" w:hAnsi="Times New Roman" w:eastAsia="Calibri" w:cs="Times New Roman"/>
          <w:color w:val="000000" w:themeColor="text1"/>
        </w:rPr>
      </w:r>
      <w:r>
        <w:rPr>
          <w:rFonts w:ascii="Times New Roman" w:hAnsi="Times New Roman" w:eastAsia="Calibri" w:cs="Times New Roman"/>
          <w:color w:val="000000" w:themeColor="text1"/>
        </w:rPr>
      </w:r>
    </w:p>
    <w:p>
      <w:pPr>
        <w:pStyle w:val="959"/>
        <w:spacing w:line="36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pStyle w:val="959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3. Порядок контроля за выполнением государственного задания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tbl>
      <w:tblPr>
        <w:tblW w:w="0" w:type="auto"/>
        <w:tblInd w:w="6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12"/>
      </w:tblGrid>
      <w:tr>
        <w:trPr/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Форма контроля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Периодичность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Органы исполнительной власти Новосибирской области, осуществляющие контроль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за выполнением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государственного задания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rPr/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rPr/>
        <w:tc>
          <w:tcPr>
            <w:tcW w:w="321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color w:val="000000" w:themeColor="text1"/>
                <w:sz w:val="20"/>
                <w:szCs w:val="20"/>
              </w:rPr>
              <w:t xml:space="preserve">Профессиональное образовательное учреждение предоставляет отчет об исполнении государственного задания по форме, утвержденной постановлением Правительства Новосибирской области от 23.11.2015 № 406-п</w:t>
            </w:r>
            <w:r>
              <w:rPr>
                <w:rFonts w:ascii="Times New Roman" w:hAnsi="Times New Roman" w:eastAsia="Calibri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eastAsia="Calibri" w:cs="Times New Roman"/>
                <w:color w:val="000000" w:themeColor="text1"/>
                <w:sz w:val="20"/>
                <w:szCs w:val="20"/>
              </w:rPr>
            </w:r>
          </w:p>
        </w:tc>
        <w:tc>
          <w:tcPr>
            <w:tcW w:w="321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color w:val="000000" w:themeColor="text1"/>
                <w:sz w:val="20"/>
                <w:szCs w:val="20"/>
                <w:highlight w:val="none"/>
              </w:rPr>
            </w:pPr>
            <w:r>
              <w:rPr>
                <w:rFonts w:ascii="Times New Roman" w:hAnsi="Times New Roman" w:eastAsia="Calibri" w:cs="Times New Roman"/>
                <w:color w:val="000000" w:themeColor="text1"/>
                <w:sz w:val="20"/>
                <w:szCs w:val="20"/>
              </w:rPr>
              <w:t xml:space="preserve">Ежеквартально, до 10 числа месяца, следующего за отчетным кварталом</w:t>
            </w:r>
            <w:r>
              <w:rPr>
                <w:rFonts w:ascii="Times New Roman" w:hAnsi="Times New Roman" w:eastAsia="Calibri" w:cs="Times New Roman"/>
                <w:color w:val="000000" w:themeColor="text1"/>
                <w:sz w:val="20"/>
                <w:szCs w:val="20"/>
                <w:highlight w:val="none"/>
              </w:rPr>
            </w:r>
            <w:r>
              <w:rPr>
                <w:rFonts w:ascii="Times New Roman" w:hAnsi="Times New Roman" w:eastAsia="Calibri" w:cs="Times New Roman"/>
                <w:color w:val="000000" w:themeColor="text1"/>
                <w:sz w:val="20"/>
                <w:szCs w:val="20"/>
                <w:highlight w:val="none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eastAsia="Calibri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eastAsia="Calibri" w:cs="Times New Roman"/>
                <w:color w:val="000000" w:themeColor="text1"/>
                <w:sz w:val="20"/>
                <w:szCs w:val="20"/>
              </w:rPr>
            </w:r>
          </w:p>
        </w:tc>
        <w:tc>
          <w:tcPr>
            <w:tcW w:w="321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color w:val="000000" w:themeColor="text1"/>
                <w:sz w:val="20"/>
                <w:szCs w:val="20"/>
              </w:rPr>
              <w:t xml:space="preserve">Министерство образования Новосибирской области</w:t>
            </w:r>
            <w:r>
              <w:rPr>
                <w:rFonts w:ascii="Times New Roman" w:hAnsi="Times New Roman" w:eastAsia="Calibri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eastAsia="Calibri" w:cs="Times New Roman"/>
                <w:color w:val="000000" w:themeColor="text1"/>
                <w:sz w:val="20"/>
                <w:szCs w:val="20"/>
              </w:rPr>
            </w:r>
          </w:p>
        </w:tc>
      </w:tr>
    </w:tbl>
    <w:p>
      <w:pPr>
        <w:pStyle w:val="959"/>
        <w:spacing w:line="480" w:lineRule="auto"/>
        <w:rPr>
          <w:color w:val="000000" w:themeColor="text1"/>
          <w:sz w:val="18"/>
          <w:szCs w:val="18"/>
        </w:rPr>
      </w:pPr>
      <w:r>
        <w:rPr>
          <w:color w:val="000000" w:themeColor="text1"/>
          <w:lang w:val="en-US"/>
        </w:rPr>
      </w:r>
      <w:r>
        <w:rPr>
          <w:color w:val="000000" w:themeColor="text1"/>
          <w:sz w:val="18"/>
          <w:szCs w:val="18"/>
        </w:rPr>
      </w:r>
      <w:r>
        <w:rPr>
          <w:color w:val="000000" w:themeColor="text1"/>
          <w:sz w:val="18"/>
          <w:szCs w:val="18"/>
        </w:rPr>
      </w:r>
    </w:p>
    <w:p>
      <w:pPr>
        <w:pStyle w:val="959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4.</w:t>
      </w:r>
      <w:r>
        <w:rPr>
          <w:color w:val="000000" w:themeColor="text1"/>
          <w:sz w:val="22"/>
          <w:szCs w:val="22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Требования к отчетности о выполнении государственного задания: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  <w:t xml:space="preserve">4.1. Периодичность  представления  отчетов  о  выполнении государственного задания:</w:t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r>
    </w:p>
    <w:p>
      <w:pPr>
        <w:pStyle w:val="959"/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  <w:t xml:space="preserve">Ежеквартально.</w:t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r>
    </w:p>
    <w:p>
      <w:pPr>
        <w:pStyle w:val="959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59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4.2. Сроки представления отчетов о выполнении государственного задания: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59"/>
        <w:ind w:left="0" w:firstLine="0"/>
        <w:jc w:val="both"/>
        <w:rPr>
          <w:rFonts w:ascii="Times New Roman" w:hAnsi="Times New Roman" w:eastAsia="Calibri" w:cs="Times New Roman"/>
          <w:color w:val="000000" w:themeColor="text1"/>
          <w:sz w:val="22"/>
          <w:szCs w:val="22"/>
          <w:highlight w:val="none"/>
        </w:rPr>
      </w:pP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- ежеквартально до 10 числа месяца, следующего за отчётным, по итогам года - до 20 января года, 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следующего за отчетным;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  <w:highlight w:val="none"/>
        </w:rPr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  <w:highlight w:val="none"/>
        </w:rPr>
      </w:r>
    </w:p>
    <w:p>
      <w:pPr>
        <w:pStyle w:val="959"/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  <w:t xml:space="preserve">- представление</w:t>
      </w:r>
      <w:r>
        <w:rPr>
          <w:rFonts w:ascii="Times New Roman" w:hAnsi="Times New Roman" w:cs="Times New Roman"/>
          <w:sz w:val="22"/>
          <w:szCs w:val="22"/>
        </w:rPr>
        <w:t xml:space="preserve"> предварительного отчета о выполнении государственного задания - </w:t>
      </w:r>
      <w:r>
        <w:rPr>
          <w:rFonts w:ascii="Times New Roman" w:hAnsi="Times New Roman" w:cs="Times New Roman"/>
          <w:sz w:val="22"/>
          <w:szCs w:val="22"/>
        </w:rPr>
        <w:t xml:space="preserve">не позднее 1 ноября отчетного года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.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</w:p>
    <w:p>
      <w:pPr>
        <w:pStyle w:val="959"/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</w:p>
    <w:p>
      <w:pPr>
        <w:pStyle w:val="959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4.3. Иные требования к отчетности о выполнении государственного задания: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59"/>
        <w:jc w:val="both"/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Отчет предоставляется в электронном виде и на бумажном носителе, заверенный подписью руководителя государственного образовательного учреждения и печатью учреждения.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</w:p>
    <w:p>
      <w:pPr>
        <w:pStyle w:val="959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59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5. Иные показатели, связанные с выполнением государственного задания: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59"/>
        <w:rPr>
          <w:color w:val="000000" w:themeColor="text1"/>
          <w:sz w:val="22"/>
          <w:szCs w:val="22"/>
        </w:rPr>
      </w:pP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  <w:t xml:space="preserve">Иные показатели не требуются.</w:t>
      </w:r>
      <w:r>
        <w:rPr>
          <w:color w:val="000000" w:themeColor="text1"/>
          <w:sz w:val="22"/>
          <w:szCs w:val="22"/>
        </w:rPr>
      </w:r>
      <w:r>
        <w:rPr>
          <w:color w:val="000000" w:themeColor="text1"/>
          <w:sz w:val="22"/>
          <w:szCs w:val="22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sectPr>
      <w:headerReference w:type="default" r:id="rId11"/>
      <w:footnotePr/>
      <w:endnotePr/>
      <w:type w:val="nextPage"/>
      <w:pgSz w:w="11906" w:h="16838" w:orient="portrait"/>
      <w:pgMar w:top="1134" w:right="567" w:bottom="1134" w:left="1418" w:header="720" w:footer="72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Wingdings">
    <w:panose1 w:val="05010000000000000000"/>
  </w:font>
  <w:font w:name="Symbol">
    <w:panose1 w:val="05010000000000000000"/>
  </w:font>
  <w:font w:name="Times New Roman">
    <w:panose1 w:val="02020603050405020304"/>
  </w:font>
  <w:font w:name="Courier New">
    <w:panose1 w:val="020703090202050204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441677891"/>
      <w:docPartObj>
        <w:docPartGallery w:val="Page Numbers (Bottom of Page)"/>
        <w:docPartUnique w:val="true"/>
      </w:docPartObj>
      <w:rPr/>
    </w:sdtPr>
    <w:sdtContent>
      <w:p>
        <w:pPr>
          <w:pStyle w:val="962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 xml:space="preserve">14</w:t>
        </w:r>
        <w:r>
          <w:fldChar w:fldCharType="end"/>
        </w:r>
        <w:r/>
      </w:p>
    </w:sdtContent>
  </w:sdt>
  <w:p>
    <w:pPr>
      <w:pStyle w:val="962"/>
    </w:pPr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441677890"/>
      <w:docPartObj>
        <w:docPartGallery w:val="Page Numbers (Bottom of Page)"/>
        <w:docPartUnique w:val="true"/>
      </w:docPartObj>
      <w:rPr/>
    </w:sdtPr>
    <w:sdtContent>
      <w:p>
        <w:pPr>
          <w:pStyle w:val="962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 xml:space="preserve">11</w:t>
        </w:r>
        <w:r>
          <w:fldChar w:fldCharType="end"/>
        </w:r>
        <w:r/>
      </w:p>
    </w:sdtContent>
  </w:sdt>
  <w:p>
    <w:pPr>
      <w:pStyle w:val="962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60"/>
      <w:jc w:val="center"/>
    </w:pPr>
    <w:r/>
    <w:r/>
  </w:p>
  <w:p>
    <w:pPr>
      <w:pStyle w:val="96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1980110020"/>
      <w:docPartObj>
        <w:docPartGallery w:val="Page Numbers (Top of Page)"/>
        <w:docPartUnique w:val="true"/>
      </w:docPartObj>
      <w:rPr/>
    </w:sdtPr>
    <w:sdtContent>
      <w:p>
        <w:pPr>
          <w:pStyle w:val="960"/>
          <w:jc w:val="center"/>
          <w:rPr>
            <w:rFonts w:ascii="Times New Roman" w:hAnsi="Times New Roman" w:cs="Times New Roman"/>
            <w:sz w:val="20"/>
          </w:rPr>
        </w:pPr>
        <w:r>
          <w:rPr>
            <w:rFonts w:ascii="Times New Roman" w:hAnsi="Times New Roman" w:cs="Times New Roman"/>
            <w:sz w:val="20"/>
          </w:rPr>
        </w:r>
        <w:r>
          <w:rPr>
            <w:rFonts w:ascii="Times New Roman" w:hAnsi="Times New Roman" w:cs="Times New Roman"/>
            <w:sz w:val="20"/>
          </w:rPr>
        </w:r>
        <w:r>
          <w:rPr>
            <w:rFonts w:ascii="Times New Roman" w:hAnsi="Times New Roman" w:cs="Times New Roman"/>
            <w:sz w:val="20"/>
          </w:rPr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60"/>
      <w:jc w:val="center"/>
      <w:rPr>
        <w:rFonts w:ascii="Times New Roman" w:hAnsi="Times New Roman" w:cs="Times New Roman"/>
        <w:sz w:val="20"/>
      </w:rPr>
    </w:pPr>
    <w:r>
      <w:rPr>
        <w:rFonts w:ascii="Times New Roman" w:hAnsi="Times New Roman" w:cs="Times New Roman"/>
        <w:sz w:val="20"/>
      </w:rPr>
    </w:r>
    <w:r>
      <w:rPr>
        <w:rFonts w:ascii="Times New Roman" w:hAnsi="Times New Roman" w:cs="Times New Roman"/>
        <w:sz w:val="20"/>
      </w:rPr>
    </w:r>
    <w:r>
      <w:rPr>
        <w:rFonts w:ascii="Times New Roman" w:hAnsi="Times New Roman" w:cs="Times New Roman"/>
        <w:sz w:val="20"/>
      </w:rPr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5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5" w:hanging="180"/>
      </w:pPr>
    </w:lvl>
  </w:abstractNum>
  <w:abstractNum w:abstractNumId="3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5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744" w:hanging="1035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9">
    <w:multiLevelType w:val="hybridMultilevel"/>
    <w:lvl w:ilvl="0">
      <w:start w:val="2"/>
      <w:numFmt w:val="decimal"/>
      <w:isLgl w:val="false"/>
      <w:suff w:val="tab"/>
      <w:lvlText w:val="3.%1."/>
      <w:legacy w:legacy="1" w:legacyIndent="864" w:legacySpace="0"/>
      <w:lvlJc w:val="left"/>
      <w:pPr/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2.%1."/>
      <w:legacy w:legacy="1" w:legacyIndent="869" w:legacySpace="0"/>
      <w:lvlJc w:val="left"/>
      <w:pPr/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1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42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2"/>
  </w:num>
  <w:num w:numId="5">
    <w:abstractNumId w:val="1"/>
  </w:num>
  <w:num w:numId="6">
    <w:abstractNumId w:val="8"/>
  </w:num>
  <w:num w:numId="7">
    <w:abstractNumId w:val="14"/>
  </w:num>
  <w:num w:numId="8">
    <w:abstractNumId w:val="12"/>
  </w:num>
  <w:num w:numId="9">
    <w:abstractNumId w:val="13"/>
  </w:num>
  <w:num w:numId="10">
    <w:abstractNumId w:val="7"/>
  </w:num>
  <w:num w:numId="11">
    <w:abstractNumId w:val="6"/>
  </w:num>
  <w:num w:numId="12">
    <w:abstractNumId w:val="11"/>
  </w:num>
  <w:num w:numId="13">
    <w:abstractNumId w:val="5"/>
  </w:num>
  <w:num w:numId="14">
    <w:abstractNumId w:val="3"/>
  </w:num>
  <w:num w:numId="15">
    <w:abstractNumId w:val="4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useFELayout w:val="true"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EastAsia" w:cstheme="minorBidi"/>
        <w:sz w:val="22"/>
        <w:szCs w:val="22"/>
        <w:lang w:val="ru-RU" w:eastAsia="ru-RU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78">
    <w:name w:val="Heading 1"/>
    <w:basedOn w:val="951"/>
    <w:next w:val="951"/>
    <w:link w:val="779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79">
    <w:name w:val="Heading 1 Char"/>
    <w:basedOn w:val="952"/>
    <w:link w:val="778"/>
    <w:uiPriority w:val="9"/>
    <w:rPr>
      <w:rFonts w:ascii="Arial" w:hAnsi="Arial" w:eastAsia="Arial" w:cs="Arial"/>
      <w:sz w:val="40"/>
      <w:szCs w:val="40"/>
    </w:rPr>
  </w:style>
  <w:style w:type="paragraph" w:styleId="780">
    <w:name w:val="Heading 2"/>
    <w:basedOn w:val="951"/>
    <w:next w:val="951"/>
    <w:link w:val="781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81">
    <w:name w:val="Heading 2 Char"/>
    <w:basedOn w:val="952"/>
    <w:link w:val="780"/>
    <w:uiPriority w:val="9"/>
    <w:rPr>
      <w:rFonts w:ascii="Arial" w:hAnsi="Arial" w:eastAsia="Arial" w:cs="Arial"/>
      <w:sz w:val="34"/>
    </w:rPr>
  </w:style>
  <w:style w:type="paragraph" w:styleId="782">
    <w:name w:val="Heading 3"/>
    <w:basedOn w:val="951"/>
    <w:next w:val="951"/>
    <w:link w:val="783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83">
    <w:name w:val="Heading 3 Char"/>
    <w:basedOn w:val="952"/>
    <w:link w:val="782"/>
    <w:uiPriority w:val="9"/>
    <w:rPr>
      <w:rFonts w:ascii="Arial" w:hAnsi="Arial" w:eastAsia="Arial" w:cs="Arial"/>
      <w:sz w:val="30"/>
      <w:szCs w:val="30"/>
    </w:rPr>
  </w:style>
  <w:style w:type="paragraph" w:styleId="784">
    <w:name w:val="Heading 4"/>
    <w:basedOn w:val="951"/>
    <w:next w:val="951"/>
    <w:link w:val="785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85">
    <w:name w:val="Heading 4 Char"/>
    <w:basedOn w:val="952"/>
    <w:link w:val="784"/>
    <w:uiPriority w:val="9"/>
    <w:rPr>
      <w:rFonts w:ascii="Arial" w:hAnsi="Arial" w:eastAsia="Arial" w:cs="Arial"/>
      <w:b/>
      <w:bCs/>
      <w:sz w:val="26"/>
      <w:szCs w:val="26"/>
    </w:rPr>
  </w:style>
  <w:style w:type="paragraph" w:styleId="786">
    <w:name w:val="Heading 5"/>
    <w:basedOn w:val="951"/>
    <w:next w:val="951"/>
    <w:link w:val="787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87">
    <w:name w:val="Heading 5 Char"/>
    <w:basedOn w:val="952"/>
    <w:link w:val="786"/>
    <w:uiPriority w:val="9"/>
    <w:rPr>
      <w:rFonts w:ascii="Arial" w:hAnsi="Arial" w:eastAsia="Arial" w:cs="Arial"/>
      <w:b/>
      <w:bCs/>
      <w:sz w:val="24"/>
      <w:szCs w:val="24"/>
    </w:rPr>
  </w:style>
  <w:style w:type="paragraph" w:styleId="788">
    <w:name w:val="Heading 6"/>
    <w:basedOn w:val="951"/>
    <w:next w:val="951"/>
    <w:link w:val="78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89">
    <w:name w:val="Heading 6 Char"/>
    <w:basedOn w:val="952"/>
    <w:link w:val="788"/>
    <w:uiPriority w:val="9"/>
    <w:rPr>
      <w:rFonts w:ascii="Arial" w:hAnsi="Arial" w:eastAsia="Arial" w:cs="Arial"/>
      <w:b/>
      <w:bCs/>
      <w:sz w:val="22"/>
      <w:szCs w:val="22"/>
    </w:rPr>
  </w:style>
  <w:style w:type="paragraph" w:styleId="790">
    <w:name w:val="Heading 7"/>
    <w:basedOn w:val="951"/>
    <w:next w:val="951"/>
    <w:link w:val="791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91">
    <w:name w:val="Heading 7 Char"/>
    <w:basedOn w:val="952"/>
    <w:link w:val="79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92">
    <w:name w:val="Heading 8"/>
    <w:basedOn w:val="951"/>
    <w:next w:val="951"/>
    <w:link w:val="79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93">
    <w:name w:val="Heading 8 Char"/>
    <w:basedOn w:val="952"/>
    <w:link w:val="792"/>
    <w:uiPriority w:val="9"/>
    <w:rPr>
      <w:rFonts w:ascii="Arial" w:hAnsi="Arial" w:eastAsia="Arial" w:cs="Arial"/>
      <w:i/>
      <w:iCs/>
      <w:sz w:val="22"/>
      <w:szCs w:val="22"/>
    </w:rPr>
  </w:style>
  <w:style w:type="paragraph" w:styleId="794">
    <w:name w:val="Heading 9"/>
    <w:basedOn w:val="951"/>
    <w:next w:val="951"/>
    <w:link w:val="79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95">
    <w:name w:val="Heading 9 Char"/>
    <w:basedOn w:val="952"/>
    <w:link w:val="794"/>
    <w:uiPriority w:val="9"/>
    <w:rPr>
      <w:rFonts w:ascii="Arial" w:hAnsi="Arial" w:eastAsia="Arial" w:cs="Arial"/>
      <w:i/>
      <w:iCs/>
      <w:sz w:val="21"/>
      <w:szCs w:val="21"/>
    </w:rPr>
  </w:style>
  <w:style w:type="paragraph" w:styleId="796">
    <w:name w:val="No Spacing"/>
    <w:uiPriority w:val="1"/>
    <w:qFormat/>
    <w:pPr>
      <w:spacing w:before="0" w:after="0" w:line="240" w:lineRule="auto"/>
    </w:pPr>
  </w:style>
  <w:style w:type="paragraph" w:styleId="797">
    <w:name w:val="Title"/>
    <w:basedOn w:val="951"/>
    <w:next w:val="951"/>
    <w:link w:val="798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98">
    <w:name w:val="Title Char"/>
    <w:basedOn w:val="952"/>
    <w:link w:val="797"/>
    <w:uiPriority w:val="10"/>
    <w:rPr>
      <w:sz w:val="48"/>
      <w:szCs w:val="48"/>
    </w:rPr>
  </w:style>
  <w:style w:type="paragraph" w:styleId="799">
    <w:name w:val="Subtitle"/>
    <w:basedOn w:val="951"/>
    <w:next w:val="951"/>
    <w:link w:val="800"/>
    <w:uiPriority w:val="11"/>
    <w:qFormat/>
    <w:pPr>
      <w:spacing w:before="200" w:after="200"/>
    </w:pPr>
    <w:rPr>
      <w:sz w:val="24"/>
      <w:szCs w:val="24"/>
    </w:rPr>
  </w:style>
  <w:style w:type="character" w:styleId="800">
    <w:name w:val="Subtitle Char"/>
    <w:basedOn w:val="952"/>
    <w:link w:val="799"/>
    <w:uiPriority w:val="11"/>
    <w:rPr>
      <w:sz w:val="24"/>
      <w:szCs w:val="24"/>
    </w:rPr>
  </w:style>
  <w:style w:type="paragraph" w:styleId="801">
    <w:name w:val="Quote"/>
    <w:basedOn w:val="951"/>
    <w:next w:val="951"/>
    <w:link w:val="802"/>
    <w:uiPriority w:val="29"/>
    <w:qFormat/>
    <w:pPr>
      <w:ind w:left="720" w:right="720"/>
    </w:pPr>
    <w:rPr>
      <w:i/>
    </w:rPr>
  </w:style>
  <w:style w:type="character" w:styleId="802">
    <w:name w:val="Quote Char"/>
    <w:link w:val="801"/>
    <w:uiPriority w:val="29"/>
    <w:rPr>
      <w:i/>
    </w:rPr>
  </w:style>
  <w:style w:type="paragraph" w:styleId="803">
    <w:name w:val="Intense Quote"/>
    <w:basedOn w:val="951"/>
    <w:next w:val="951"/>
    <w:link w:val="804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804">
    <w:name w:val="Intense Quote Char"/>
    <w:link w:val="803"/>
    <w:uiPriority w:val="30"/>
    <w:rPr>
      <w:i/>
    </w:rPr>
  </w:style>
  <w:style w:type="character" w:styleId="805">
    <w:name w:val="Header Char"/>
    <w:basedOn w:val="952"/>
    <w:link w:val="960"/>
    <w:uiPriority w:val="99"/>
  </w:style>
  <w:style w:type="character" w:styleId="806">
    <w:name w:val="Footer Char"/>
    <w:basedOn w:val="952"/>
    <w:link w:val="962"/>
    <w:uiPriority w:val="99"/>
  </w:style>
  <w:style w:type="paragraph" w:styleId="807">
    <w:name w:val="Caption"/>
    <w:basedOn w:val="951"/>
    <w:next w:val="95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808">
    <w:name w:val="Caption Char"/>
    <w:basedOn w:val="807"/>
    <w:link w:val="962"/>
    <w:uiPriority w:val="99"/>
  </w:style>
  <w:style w:type="table" w:styleId="809">
    <w:name w:val="Table Grid Light"/>
    <w:basedOn w:val="95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10">
    <w:name w:val="Plain Table 1"/>
    <w:basedOn w:val="95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11">
    <w:name w:val="Plain Table 2"/>
    <w:basedOn w:val="95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12">
    <w:name w:val="Plain Table 3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813">
    <w:name w:val="Plain Table 4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>
    <w:name w:val="Plain Table 5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815">
    <w:name w:val="Grid Table 1 Light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Grid Table 1 Light - Accent 1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Grid Table 1 Light - Accent 2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Grid Table 1 Light - Accent 3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Grid Table 1 Light - Accent 4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Grid Table 1 Light - Accent 5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Grid Table 1 Light - Accent 6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>
    <w:name w:val="Grid Table 2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3">
    <w:name w:val="Grid Table 2 - Accent 1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4">
    <w:name w:val="Grid Table 2 - Accent 2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5">
    <w:name w:val="Grid Table 2 - Accent 3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6">
    <w:name w:val="Grid Table 2 - Accent 4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7">
    <w:name w:val="Grid Table 2 - Accent 5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8">
    <w:name w:val="Grid Table 2 - Accent 6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9">
    <w:name w:val="Grid Table 3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0">
    <w:name w:val="Grid Table 3 - Accent 1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1">
    <w:name w:val="Grid Table 3 - Accent 2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2">
    <w:name w:val="Grid Table 3 - Accent 3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3">
    <w:name w:val="Grid Table 3 - Accent 4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4">
    <w:name w:val="Grid Table 3 - Accent 5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5">
    <w:name w:val="Grid Table 3 - Accent 6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6">
    <w:name w:val="Grid Table 4"/>
    <w:basedOn w:val="95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37">
    <w:name w:val="Grid Table 4 - Accent 1"/>
    <w:basedOn w:val="95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838">
    <w:name w:val="Grid Table 4 - Accent 2"/>
    <w:basedOn w:val="95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839">
    <w:name w:val="Grid Table 4 - Accent 3"/>
    <w:basedOn w:val="95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40">
    <w:name w:val="Grid Table 4 - Accent 4"/>
    <w:basedOn w:val="95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41">
    <w:name w:val="Grid Table 4 - Accent 5"/>
    <w:basedOn w:val="95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42">
    <w:name w:val="Grid Table 4 - Accent 6"/>
    <w:basedOn w:val="95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43">
    <w:name w:val="Grid Table 5 Dark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4">
    <w:name w:val="Grid Table 5 Dark- Accent 1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45">
    <w:name w:val="Grid Table 5 Dark - Accent 2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46">
    <w:name w:val="Grid Table 5 Dark - Accent 3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47">
    <w:name w:val="Grid Table 5 Dark- Accent 4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48">
    <w:name w:val="Grid Table 5 Dark - Accent 5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49">
    <w:name w:val="Grid Table 5 Dark - Accent 6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50">
    <w:name w:val="Grid Table 6 Colorful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51">
    <w:name w:val="Grid Table 6 Colorful - Accent 1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52">
    <w:name w:val="Grid Table 6 Colorful - Accent 2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53">
    <w:name w:val="Grid Table 6 Colorful - Accent 3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54">
    <w:name w:val="Grid Table 6 Colorful - Accent 4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55">
    <w:name w:val="Grid Table 6 Colorful - Accent 5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56">
    <w:name w:val="Grid Table 6 Colorful - Accent 6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57">
    <w:name w:val="Grid Table 7 Colorful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8">
    <w:name w:val="Grid Table 7 Colorful - Accent 1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9">
    <w:name w:val="Grid Table 7 Colorful - Accent 2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0">
    <w:name w:val="Grid Table 7 Colorful - Accent 3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1">
    <w:name w:val="Grid Table 7 Colorful - Accent 4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2">
    <w:name w:val="Grid Table 7 Colorful - Accent 5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3">
    <w:name w:val="Grid Table 7 Colorful - Accent 6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4">
    <w:name w:val="List Table 1 Light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5">
    <w:name w:val="List Table 1 Light - Accent 1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6">
    <w:name w:val="List Table 1 Light - Accent 2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7">
    <w:name w:val="List Table 1 Light - Accent 3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8">
    <w:name w:val="List Table 1 Light - Accent 4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9">
    <w:name w:val="List Table 1 Light - Accent 5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0">
    <w:name w:val="List Table 1 Light - Accent 6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1">
    <w:name w:val="List Table 2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72">
    <w:name w:val="List Table 2 - Accent 1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73">
    <w:name w:val="List Table 2 - Accent 2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74">
    <w:name w:val="List Table 2 - Accent 3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75">
    <w:name w:val="List Table 2 - Accent 4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76">
    <w:name w:val="List Table 2 - Accent 5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77">
    <w:name w:val="List Table 2 - Accent 6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78">
    <w:name w:val="List Table 3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9">
    <w:name w:val="List Table 3 - Accent 1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0">
    <w:name w:val="List Table 3 - Accent 2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1">
    <w:name w:val="List Table 3 - Accent 3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2">
    <w:name w:val="List Table 3 - Accent 4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3">
    <w:name w:val="List Table 3 - Accent 5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4">
    <w:name w:val="List Table 3 - Accent 6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5">
    <w:name w:val="List Table 4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6">
    <w:name w:val="List Table 4 - Accent 1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7">
    <w:name w:val="List Table 4 - Accent 2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8">
    <w:name w:val="List Table 4 - Accent 3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9">
    <w:name w:val="List Table 4 - Accent 4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0">
    <w:name w:val="List Table 4 - Accent 5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1">
    <w:name w:val="List Table 4 - Accent 6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2">
    <w:name w:val="List Table 5 Dark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3">
    <w:name w:val="List Table 5 Dark - Accent 1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4">
    <w:name w:val="List Table 5 Dark - Accent 2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5">
    <w:name w:val="List Table 5 Dark - Accent 3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6">
    <w:name w:val="List Table 5 Dark - Accent 4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7">
    <w:name w:val="List Table 5 Dark - Accent 5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8">
    <w:name w:val="List Table 5 Dark - Accent 6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9">
    <w:name w:val="List Table 6 Colorful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900">
    <w:name w:val="List Table 6 Colorful - Accent 1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901">
    <w:name w:val="List Table 6 Colorful - Accent 2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902">
    <w:name w:val="List Table 6 Colorful - Accent 3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903">
    <w:name w:val="List Table 6 Colorful - Accent 4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904">
    <w:name w:val="List Table 6 Colorful - Accent 5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905">
    <w:name w:val="List Table 6 Colorful - Accent 6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906">
    <w:name w:val="List Table 7 Colorful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907">
    <w:name w:val="List Table 7 Colorful - Accent 1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908">
    <w:name w:val="List Table 7 Colorful - Accent 2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909">
    <w:name w:val="List Table 7 Colorful - Accent 3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910">
    <w:name w:val="List Table 7 Colorful - Accent 4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911">
    <w:name w:val="List Table 7 Colorful - Accent 5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912">
    <w:name w:val="List Table 7 Colorful - Accent 6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913">
    <w:name w:val="Lined - Accent"/>
    <w:basedOn w:val="9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14">
    <w:name w:val="Lined - Accent 1"/>
    <w:basedOn w:val="9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915">
    <w:name w:val="Lined - Accent 2"/>
    <w:basedOn w:val="9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916">
    <w:name w:val="Lined - Accent 3"/>
    <w:basedOn w:val="9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917">
    <w:name w:val="Lined - Accent 4"/>
    <w:basedOn w:val="9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918">
    <w:name w:val="Lined - Accent 5"/>
    <w:basedOn w:val="9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919">
    <w:name w:val="Lined - Accent 6"/>
    <w:basedOn w:val="9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920">
    <w:name w:val="Bordered &amp; Lined - Accent"/>
    <w:basedOn w:val="9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21">
    <w:name w:val="Bordered &amp; Lined - Accent 1"/>
    <w:basedOn w:val="9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922">
    <w:name w:val="Bordered &amp; Lined - Accent 2"/>
    <w:basedOn w:val="9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923">
    <w:name w:val="Bordered &amp; Lined - Accent 3"/>
    <w:basedOn w:val="9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924">
    <w:name w:val="Bordered &amp; Lined - Accent 4"/>
    <w:basedOn w:val="9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925">
    <w:name w:val="Bordered &amp; Lined - Accent 5"/>
    <w:basedOn w:val="9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926">
    <w:name w:val="Bordered &amp; Lined - Accent 6"/>
    <w:basedOn w:val="9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927">
    <w:name w:val="Bordered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928">
    <w:name w:val="Bordered - Accent 1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929">
    <w:name w:val="Bordered - Accent 2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930">
    <w:name w:val="Bordered - Accent 3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931">
    <w:name w:val="Bordered - Accent 4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932">
    <w:name w:val="Bordered - Accent 5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933">
    <w:name w:val="Bordered - Accent 6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934">
    <w:name w:val="footnote text"/>
    <w:basedOn w:val="951"/>
    <w:link w:val="935"/>
    <w:uiPriority w:val="99"/>
    <w:semiHidden/>
    <w:unhideWhenUsed/>
    <w:pPr>
      <w:spacing w:after="40" w:line="240" w:lineRule="auto"/>
    </w:pPr>
    <w:rPr>
      <w:sz w:val="18"/>
    </w:rPr>
  </w:style>
  <w:style w:type="character" w:styleId="935">
    <w:name w:val="Footnote Text Char"/>
    <w:link w:val="934"/>
    <w:uiPriority w:val="99"/>
    <w:rPr>
      <w:sz w:val="18"/>
    </w:rPr>
  </w:style>
  <w:style w:type="character" w:styleId="936">
    <w:name w:val="footnote reference"/>
    <w:basedOn w:val="952"/>
    <w:uiPriority w:val="99"/>
    <w:unhideWhenUsed/>
    <w:rPr>
      <w:vertAlign w:val="superscript"/>
    </w:rPr>
  </w:style>
  <w:style w:type="paragraph" w:styleId="937">
    <w:name w:val="endnote text"/>
    <w:basedOn w:val="951"/>
    <w:link w:val="938"/>
    <w:uiPriority w:val="99"/>
    <w:semiHidden/>
    <w:unhideWhenUsed/>
    <w:pPr>
      <w:spacing w:after="0" w:line="240" w:lineRule="auto"/>
    </w:pPr>
    <w:rPr>
      <w:sz w:val="20"/>
    </w:rPr>
  </w:style>
  <w:style w:type="character" w:styleId="938">
    <w:name w:val="Endnote Text Char"/>
    <w:link w:val="937"/>
    <w:uiPriority w:val="99"/>
    <w:rPr>
      <w:sz w:val="20"/>
    </w:rPr>
  </w:style>
  <w:style w:type="character" w:styleId="939">
    <w:name w:val="endnote reference"/>
    <w:basedOn w:val="952"/>
    <w:uiPriority w:val="99"/>
    <w:semiHidden/>
    <w:unhideWhenUsed/>
    <w:rPr>
      <w:vertAlign w:val="superscript"/>
    </w:rPr>
  </w:style>
  <w:style w:type="paragraph" w:styleId="940">
    <w:name w:val="toc 1"/>
    <w:basedOn w:val="951"/>
    <w:next w:val="951"/>
    <w:uiPriority w:val="39"/>
    <w:unhideWhenUsed/>
    <w:pPr>
      <w:ind w:left="0" w:right="0" w:firstLine="0"/>
      <w:spacing w:after="57"/>
    </w:pPr>
  </w:style>
  <w:style w:type="paragraph" w:styleId="941">
    <w:name w:val="toc 2"/>
    <w:basedOn w:val="951"/>
    <w:next w:val="951"/>
    <w:uiPriority w:val="39"/>
    <w:unhideWhenUsed/>
    <w:pPr>
      <w:ind w:left="283" w:right="0" w:firstLine="0"/>
      <w:spacing w:after="57"/>
    </w:pPr>
  </w:style>
  <w:style w:type="paragraph" w:styleId="942">
    <w:name w:val="toc 3"/>
    <w:basedOn w:val="951"/>
    <w:next w:val="951"/>
    <w:uiPriority w:val="39"/>
    <w:unhideWhenUsed/>
    <w:pPr>
      <w:ind w:left="567" w:right="0" w:firstLine="0"/>
      <w:spacing w:after="57"/>
    </w:pPr>
  </w:style>
  <w:style w:type="paragraph" w:styleId="943">
    <w:name w:val="toc 4"/>
    <w:basedOn w:val="951"/>
    <w:next w:val="951"/>
    <w:uiPriority w:val="39"/>
    <w:unhideWhenUsed/>
    <w:pPr>
      <w:ind w:left="850" w:right="0" w:firstLine="0"/>
      <w:spacing w:after="57"/>
    </w:pPr>
  </w:style>
  <w:style w:type="paragraph" w:styleId="944">
    <w:name w:val="toc 5"/>
    <w:basedOn w:val="951"/>
    <w:next w:val="951"/>
    <w:uiPriority w:val="39"/>
    <w:unhideWhenUsed/>
    <w:pPr>
      <w:ind w:left="1134" w:right="0" w:firstLine="0"/>
      <w:spacing w:after="57"/>
    </w:pPr>
  </w:style>
  <w:style w:type="paragraph" w:styleId="945">
    <w:name w:val="toc 6"/>
    <w:basedOn w:val="951"/>
    <w:next w:val="951"/>
    <w:uiPriority w:val="39"/>
    <w:unhideWhenUsed/>
    <w:pPr>
      <w:ind w:left="1417" w:right="0" w:firstLine="0"/>
      <w:spacing w:after="57"/>
    </w:pPr>
  </w:style>
  <w:style w:type="paragraph" w:styleId="946">
    <w:name w:val="toc 7"/>
    <w:basedOn w:val="951"/>
    <w:next w:val="951"/>
    <w:uiPriority w:val="39"/>
    <w:unhideWhenUsed/>
    <w:pPr>
      <w:ind w:left="1701" w:right="0" w:firstLine="0"/>
      <w:spacing w:after="57"/>
    </w:pPr>
  </w:style>
  <w:style w:type="paragraph" w:styleId="947">
    <w:name w:val="toc 8"/>
    <w:basedOn w:val="951"/>
    <w:next w:val="951"/>
    <w:uiPriority w:val="39"/>
    <w:unhideWhenUsed/>
    <w:pPr>
      <w:ind w:left="1984" w:right="0" w:firstLine="0"/>
      <w:spacing w:after="57"/>
    </w:pPr>
  </w:style>
  <w:style w:type="paragraph" w:styleId="948">
    <w:name w:val="toc 9"/>
    <w:basedOn w:val="951"/>
    <w:next w:val="951"/>
    <w:uiPriority w:val="39"/>
    <w:unhideWhenUsed/>
    <w:pPr>
      <w:ind w:left="2268" w:right="0" w:firstLine="0"/>
      <w:spacing w:after="57"/>
    </w:pPr>
  </w:style>
  <w:style w:type="paragraph" w:styleId="949">
    <w:name w:val="TOC Heading"/>
    <w:uiPriority w:val="39"/>
    <w:unhideWhenUsed/>
  </w:style>
  <w:style w:type="paragraph" w:styleId="950">
    <w:name w:val="table of figures"/>
    <w:basedOn w:val="951"/>
    <w:next w:val="951"/>
    <w:uiPriority w:val="99"/>
    <w:unhideWhenUsed/>
    <w:pPr>
      <w:spacing w:after="0" w:afterAutospacing="0"/>
    </w:pPr>
  </w:style>
  <w:style w:type="paragraph" w:styleId="951" w:default="1">
    <w:name w:val="Normal"/>
    <w:qFormat/>
  </w:style>
  <w:style w:type="character" w:styleId="952" w:default="1">
    <w:name w:val="Default Paragraph Font"/>
    <w:uiPriority w:val="1"/>
    <w:semiHidden/>
    <w:unhideWhenUsed/>
  </w:style>
  <w:style w:type="table" w:styleId="95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954" w:default="1">
    <w:name w:val="No List"/>
    <w:uiPriority w:val="99"/>
    <w:semiHidden/>
    <w:unhideWhenUsed/>
  </w:style>
  <w:style w:type="character" w:styleId="955">
    <w:name w:val="Hyperlink"/>
    <w:basedOn w:val="952"/>
    <w:uiPriority w:val="99"/>
    <w:unhideWhenUsed/>
    <w:rPr>
      <w:color w:val="0000ff" w:themeColor="hyperlink"/>
      <w:u w:val="single"/>
    </w:rPr>
  </w:style>
  <w:style w:type="paragraph" w:styleId="956">
    <w:name w:val="Balloon Text"/>
    <w:basedOn w:val="951"/>
    <w:link w:val="957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957" w:customStyle="1">
    <w:name w:val="Текст выноски Знак"/>
    <w:basedOn w:val="952"/>
    <w:link w:val="956"/>
    <w:uiPriority w:val="99"/>
    <w:semiHidden/>
    <w:rPr>
      <w:rFonts w:ascii="Tahoma" w:hAnsi="Tahoma" w:cs="Tahoma"/>
      <w:sz w:val="16"/>
      <w:szCs w:val="16"/>
    </w:rPr>
  </w:style>
  <w:style w:type="paragraph" w:styleId="958">
    <w:name w:val="List Paragraph"/>
    <w:basedOn w:val="951"/>
    <w:uiPriority w:val="34"/>
    <w:qFormat/>
    <w:pPr>
      <w:contextualSpacing/>
      <w:ind w:left="720"/>
    </w:pPr>
  </w:style>
  <w:style w:type="paragraph" w:styleId="959" w:customStyle="1">
    <w:name w:val="ConsPlusNonformat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960">
    <w:name w:val="Header"/>
    <w:basedOn w:val="951"/>
    <w:link w:val="961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61" w:customStyle="1">
    <w:name w:val="Верхний колонтитул Знак"/>
    <w:basedOn w:val="952"/>
    <w:link w:val="960"/>
    <w:uiPriority w:val="99"/>
  </w:style>
  <w:style w:type="paragraph" w:styleId="962">
    <w:name w:val="Footer"/>
    <w:basedOn w:val="951"/>
    <w:link w:val="963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63" w:customStyle="1">
    <w:name w:val="Нижний колонтитул Знак"/>
    <w:basedOn w:val="952"/>
    <w:link w:val="962"/>
    <w:uiPriority w:val="99"/>
  </w:style>
  <w:style w:type="table" w:styleId="964">
    <w:name w:val="Table Grid"/>
    <w:basedOn w:val="953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965" w:customStyle="1">
    <w:name w:val="ConsPlusNormal"/>
    <w:pPr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footer" Target="footer1.xml" /><Relationship Id="rId13" Type="http://schemas.openxmlformats.org/officeDocument/2006/relationships/footer" Target="footer2.xml" /><Relationship Id="rId14" Type="http://schemas.openxmlformats.org/officeDocument/2006/relationships/customXml" Target="../customXml/item1.xml" /><Relationship Id="rId15" Type="http://schemas.openxmlformats.org/officeDocument/2006/relationships/hyperlink" Target="consultantplus://offline/ref=DC41E2772540CE89436B920E86BEF4F9345B73C5B114AE3A8765A72052AFVDF" TargetMode="External"/><Relationship Id="rId16" Type="http://schemas.openxmlformats.org/officeDocument/2006/relationships/hyperlink" Target="consultantplus://offline/ref=DC41E2772540CE89436B920E86BEF4F9345B73C5B114AE3A8765A72052AFVDF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22BBFB7-4F52-4409-ABB1-5C8C135F97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Р7-Офис/7.4.0.341</Application>
  <Company>Департамент труда и занятости населения НСО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revision>43</cp:revision>
  <dcterms:created xsi:type="dcterms:W3CDTF">2019-12-24T10:19:00Z</dcterms:created>
  <dcterms:modified xsi:type="dcterms:W3CDTF">2023-12-28T03:42:05Z</dcterms:modified>
</cp:coreProperties>
</file>