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90"/>
        <w:ind w:left="5387"/>
        <w:jc w:val="center"/>
      </w:pPr>
      <w:r/>
      <w:r/>
    </w:p>
    <w:p>
      <w:pPr>
        <w:pStyle w:val="890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УТВЕРЖДЕНО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90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приказом Минобразования Новосибирской области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90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от 26.12.2024  № 1916</w:t>
      </w:r>
      <w:r/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90"/>
        <w:ind w:left="5387"/>
        <w:jc w:val="center"/>
        <w:tabs>
          <w:tab w:val="left" w:pos="5670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90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Министр образования 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90"/>
        <w:ind w:left="5387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Новосибирской области</w:t>
      </w:r>
      <w:r>
        <w:rPr>
          <w:sz w:val="28"/>
          <w:szCs w:val="28"/>
        </w:rPr>
      </w:r>
    </w:p>
    <w:p>
      <w:pPr>
        <w:pStyle w:val="890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__________</w:t>
      </w:r>
      <w:r>
        <w:rPr>
          <w:rFonts w:ascii="Times New Roman" w:hAnsi="Times New Roman" w:cs="Times New Roman"/>
          <w:sz w:val="28"/>
          <w:szCs w:val="28"/>
        </w:rPr>
        <w:t xml:space="preserve">М.Н. </w:t>
      </w:r>
      <w:r>
        <w:rPr>
          <w:rFonts w:ascii="Times New Roman" w:hAnsi="Times New Roman" w:cs="Times New Roman"/>
          <w:sz w:val="28"/>
          <w:szCs w:val="28"/>
        </w:rPr>
        <w:t xml:space="preserve">Жафярова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90"/>
        <w:ind w:left="5387"/>
        <w:jc w:val="center"/>
        <w:rPr>
          <w:rFonts w:ascii="Times New Roman" w:hAnsi="Times New Roman" w:cs="Times New Roman"/>
          <w:color w:val="000000" w:themeColor="text1"/>
          <w:highlight w:val="white"/>
        </w:rPr>
      </w:pPr>
      <w:r>
        <w:rPr>
          <w:rFonts w:ascii="Times New Roman" w:hAnsi="Times New Roman" w:cs="Times New Roman"/>
          <w:sz w:val="28"/>
          <w:szCs w:val="28"/>
        </w:rPr>
        <w:t xml:space="preserve">«___» ________2024 г.</w:t>
      </w:r>
      <w:r>
        <w:rPr>
          <w:rFonts w:ascii="Times New Roman" w:hAnsi="Times New Roman" w:cs="Times New Roman"/>
          <w:color w:val="000000" w:themeColor="text1"/>
          <w:highlight w:val="white"/>
        </w:rPr>
      </w:r>
    </w:p>
    <w:p>
      <w:pPr>
        <w:pStyle w:val="890"/>
        <w:jc w:val="right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90"/>
        <w:jc w:val="right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9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ГОСУДАРСТВЕННОЕ ЗАДАНИЕ № 41</w:t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89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89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на 2025 год и на плановый период 2026 и 2027 годов</w:t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890"/>
        <w:jc w:val="center"/>
      </w:pPr>
      <w:r/>
      <w:r/>
    </w:p>
    <w:tbl>
      <w:tblPr>
        <w:tblStyle w:val="895"/>
        <w:tblW w:w="0" w:type="auto"/>
        <w:tblLook w:val="04A0" w:firstRow="1" w:lastRow="0" w:firstColumn="1" w:lastColumn="0" w:noHBand="0" w:noVBand="1"/>
      </w:tblPr>
      <w:tblGrid>
        <w:gridCol w:w="7338"/>
        <w:gridCol w:w="1431"/>
        <w:gridCol w:w="1064"/>
      </w:tblGrid>
      <w:tr>
        <w:tblPrEx/>
        <w:trPr>
          <w:trHeight w:val="36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/>
          </w:tcPr>
          <w:p>
            <w:pPr>
              <w:pStyle w:val="89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/>
          </w:tcPr>
          <w:p>
            <w:pPr>
              <w:pStyle w:val="89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</w:tcBorders>
            <w:tcW w:w="1064" w:type="dxa"/>
            <w:textDirection w:val="lrTb"/>
            <w:noWrap/>
          </w:tcPr>
          <w:p>
            <w:pPr>
              <w:pStyle w:val="89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Коды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581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/>
          </w:tcPr>
          <w:p>
            <w:pPr>
              <w:pStyle w:val="89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Наименование государственного учреждения</w:t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89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Новосибирской области</w:t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89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vMerge w:val="restart"/>
            <w:textDirection w:val="lrTb"/>
            <w:noWrap/>
          </w:tcPr>
          <w:p>
            <w:pPr>
              <w:pStyle w:val="89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Форма </w:t>
            </w:r>
            <w:r>
              <w:rPr>
                <w:rFonts w:ascii="Times New Roman" w:hAnsi="Times New Roman" w:cs="Times New Roman"/>
              </w:rPr>
              <w:t xml:space="preserve">по</w:t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89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ОКУД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</w:tcBorders>
            <w:tcW w:w="1064" w:type="dxa"/>
            <w:vAlign w:val="center"/>
            <w:vMerge w:val="restart"/>
            <w:textDirection w:val="lrTb"/>
            <w:noWrap/>
          </w:tcPr>
          <w:p>
            <w:pPr>
              <w:pStyle w:val="89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0506001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36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/>
          </w:tcPr>
          <w:p>
            <w:pPr>
              <w:pStyle w:val="89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Государственное бюджетное профессиональное образовательное учреждение Новосибирской области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vMerge w:val="continue"/>
            <w:textDirection w:val="lrTb"/>
            <w:noWrap/>
          </w:tcPr>
          <w:p>
            <w:pPr>
              <w:pStyle w:val="89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</w:tcBorders>
            <w:tcW w:w="1064" w:type="dxa"/>
            <w:vMerge w:val="continue"/>
            <w:textDirection w:val="lrTb"/>
            <w:noWrap/>
          </w:tcPr>
          <w:p>
            <w:pPr>
              <w:pStyle w:val="89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555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/>
          </w:tcPr>
          <w:p>
            <w:pPr>
              <w:pStyle w:val="890"/>
              <w:rPr>
                <w:rFonts w:ascii="Times New Roman" w:hAnsi="Times New Roman" w:cs="Times New Roman"/>
                <w:b/>
                <w:sz w:val="14"/>
              </w:rPr>
            </w:pPr>
            <w:r>
              <w:rPr>
                <w:rFonts w:ascii="Times New Roman" w:hAnsi="Times New Roman" w:cs="Times New Roman"/>
                <w:b/>
                <w:sz w:val="14"/>
              </w:rPr>
            </w:r>
            <w:r>
              <w:rPr>
                <w:rFonts w:ascii="Times New Roman" w:hAnsi="Times New Roman" w:cs="Times New Roman"/>
                <w:b/>
                <w:sz w:val="14"/>
              </w:rPr>
            </w:r>
          </w:p>
          <w:p>
            <w:pPr>
              <w:pStyle w:val="89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«</w:t>
            </w:r>
            <w:r>
              <w:rPr>
                <w:rFonts w:ascii="Times New Roman" w:hAnsi="Times New Roman" w:cs="Times New Roman"/>
                <w:b/>
              </w:rPr>
              <w:t xml:space="preserve">Чулымский</w:t>
            </w:r>
            <w:r>
              <w:rPr>
                <w:rFonts w:ascii="Times New Roman" w:hAnsi="Times New Roman" w:cs="Times New Roman"/>
                <w:b/>
              </w:rPr>
              <w:t xml:space="preserve"> аграрный колледж»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/>
          </w:tcPr>
          <w:p>
            <w:pPr>
              <w:pStyle w:val="89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Дата начала действия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</w:tcBorders>
            <w:tcW w:w="1064" w:type="dxa"/>
            <w:textDirection w:val="lrTb"/>
            <w:noWrap/>
          </w:tcPr>
          <w:p>
            <w:pPr>
              <w:pStyle w:val="89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555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/>
          </w:tcPr>
          <w:p>
            <w:pPr>
              <w:pStyle w:val="890"/>
              <w:rPr>
                <w:rFonts w:ascii="Times New Roman" w:hAnsi="Times New Roman" w:cs="Times New Roman"/>
                <w:b/>
                <w:sz w:val="14"/>
              </w:rPr>
            </w:pPr>
            <w:r>
              <w:rPr>
                <w:rFonts w:ascii="Times New Roman" w:hAnsi="Times New Roman" w:cs="Times New Roman"/>
              </w:rPr>
              <w:t xml:space="preserve">Виды деятельности государственного учреждения Новосибирской  области</w:t>
            </w:r>
            <w:r>
              <w:rPr>
                <w:rFonts w:ascii="Times New Roman" w:hAnsi="Times New Roman" w:cs="Times New Roman"/>
                <w:b/>
                <w:sz w:val="1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/>
          </w:tcPr>
          <w:p>
            <w:pPr>
              <w:pStyle w:val="89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Дата окончания действия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</w:tcBorders>
            <w:tcW w:w="1064" w:type="dxa"/>
            <w:textDirection w:val="lrTb"/>
            <w:noWrap/>
          </w:tcPr>
          <w:p>
            <w:pPr>
              <w:pStyle w:val="89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571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/>
          </w:tcPr>
          <w:p>
            <w:pPr>
              <w:pStyle w:val="89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сводному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реестру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</w:tcBorders>
            <w:tcW w:w="1064" w:type="dxa"/>
            <w:textDirection w:val="lrTb"/>
            <w:noWrap/>
          </w:tcPr>
          <w:p>
            <w:pPr>
              <w:pStyle w:val="89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363"/>
        </w:trPr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38" w:type="dxa"/>
            <w:vAlign w:val="bottom"/>
            <w:textDirection w:val="lrTb"/>
            <w:noWrap/>
          </w:tcPr>
          <w:p>
            <w:pPr>
              <w:pStyle w:val="89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Образование и наука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/>
          </w:tcPr>
          <w:p>
            <w:pPr>
              <w:pStyle w:val="89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 ОКВЭД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64" w:type="dxa"/>
            <w:vAlign w:val="center"/>
            <w:textDirection w:val="lrTb"/>
            <w:noWrap/>
          </w:tcPr>
          <w:p>
            <w:pPr>
              <w:pStyle w:val="89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85.21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363"/>
        </w:trPr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38" w:type="dxa"/>
            <w:vAlign w:val="bottom"/>
            <w:textDirection w:val="lrTb"/>
            <w:noWrap/>
          </w:tcPr>
          <w:p>
            <w:pPr>
              <w:pStyle w:val="89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Вид государственного учреждения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/>
          </w:tcPr>
          <w:p>
            <w:pPr>
              <w:pStyle w:val="89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 ОКВЭД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tcW w:w="1064" w:type="dxa"/>
            <w:textDirection w:val="lrTb"/>
            <w:noWrap/>
          </w:tcPr>
          <w:p>
            <w:pPr>
              <w:pStyle w:val="89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323"/>
        </w:trPr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38" w:type="dxa"/>
            <w:vAlign w:val="bottom"/>
            <w:textDirection w:val="lrTb"/>
            <w:noWrap/>
          </w:tcPr>
          <w:p>
            <w:pPr>
              <w:pStyle w:val="89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Профессиональная образовательная организация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/>
          </w:tcPr>
          <w:p>
            <w:pPr>
              <w:pStyle w:val="89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 ОКВЭД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</w:tcBorders>
            <w:tcW w:w="1064" w:type="dxa"/>
            <w:textDirection w:val="lrTb"/>
            <w:noWrap/>
          </w:tcPr>
          <w:p>
            <w:pPr>
              <w:pStyle w:val="89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486"/>
        </w:trPr>
        <w:tc>
          <w:tcPr>
            <w:tcBorders>
              <w:top w:val="single" w:color="auto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/>
          </w:tcPr>
          <w:p>
            <w:pPr>
              <w:pStyle w:val="89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(указывается вид деятельности государственного учреждения из базового (отраслевого) перечня или регионального перечня) </w:t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89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431" w:type="dxa"/>
            <w:vAlign w:val="center"/>
            <w:textDirection w:val="lrTb"/>
            <w:noWrap/>
          </w:tcPr>
          <w:p>
            <w:pPr>
              <w:pStyle w:val="89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64" w:type="dxa"/>
            <w:textDirection w:val="lrTb"/>
            <w:noWrap/>
          </w:tcPr>
          <w:p>
            <w:pPr>
              <w:pStyle w:val="89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</w:tbl>
    <w:p>
      <w:pPr>
        <w:pStyle w:val="89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Часть </w:t>
      </w:r>
      <w:r>
        <w:rPr>
          <w:rFonts w:ascii="Times New Roman" w:hAnsi="Times New Roman" w:cs="Times New Roman"/>
          <w:lang w:val="en-US"/>
        </w:rPr>
        <w:t xml:space="preserve">I</w:t>
      </w:r>
      <w:r>
        <w:rPr>
          <w:rFonts w:ascii="Times New Roman" w:hAnsi="Times New Roman" w:cs="Times New Roman"/>
        </w:rPr>
        <w:t xml:space="preserve">. Сведения об оказываемых государственных услугах</w:t>
      </w:r>
      <w:r>
        <w:rPr>
          <w:rFonts w:ascii="Times New Roman" w:hAnsi="Times New Roman" w:cs="Times New Roman"/>
        </w:rPr>
      </w:r>
    </w:p>
    <w:p>
      <w:pPr>
        <w:pStyle w:val="89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89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Раздел 1</w:t>
      </w:r>
      <w:r>
        <w:rPr>
          <w:rFonts w:ascii="Times New Roman" w:hAnsi="Times New Roman" w:cs="Times New Roman"/>
        </w:rPr>
      </w:r>
    </w:p>
    <w:p>
      <w:pPr>
        <w:pStyle w:val="89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tbl>
      <w:tblPr>
        <w:tblStyle w:val="895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>
        <w:tblPrEx/>
        <w:trPr>
          <w:trHeight w:val="239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/>
          </w:tcPr>
          <w:p>
            <w:pPr>
              <w:pStyle w:val="89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right w:val="none" w:color="000000" w:sz="4" w:space="0"/>
            </w:tcBorders>
            <w:tcW w:w="1557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</w:t>
            </w:r>
            <w:r>
              <w:rPr>
                <w:sz w:val="20"/>
                <w:szCs w:val="20"/>
              </w:rPr>
            </w: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базовому</w:t>
            </w:r>
            <w:r>
              <w:rPr>
                <w:sz w:val="20"/>
                <w:szCs w:val="20"/>
              </w:rPr>
            </w: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(отраслевому)</w:t>
            </w:r>
            <w:r>
              <w:rPr>
                <w:sz w:val="20"/>
                <w:szCs w:val="20"/>
              </w:rPr>
            </w: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перечню или региональному перечню</w:t>
            </w:r>
            <w:r>
              <w:rPr>
                <w:sz w:val="20"/>
                <w:szCs w:val="20"/>
              </w:rPr>
            </w:r>
          </w:p>
          <w:p>
            <w:pPr>
              <w:pStyle w:val="89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17" w:type="dxa"/>
            <w:textDirection w:val="lrTb"/>
            <w:noWrap/>
          </w:tcPr>
          <w:p>
            <w:pPr>
              <w:pStyle w:val="89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222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/>
          </w:tcPr>
          <w:p>
            <w:pPr>
              <w:pStyle w:val="89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none" w:color="000000" w:sz="4" w:space="0"/>
              <w:right w:val="none" w:color="000000" w:sz="4" w:space="0"/>
            </w:tcBorders>
            <w:tcW w:w="1557" w:type="dxa"/>
            <w:vMerge w:val="continue"/>
            <w:textDirection w:val="lrTb"/>
            <w:noWrap/>
          </w:tcPr>
          <w:p>
            <w:pPr>
              <w:pStyle w:val="89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1017" w:type="dxa"/>
            <w:textDirection w:val="lrTb"/>
            <w:noWrap/>
          </w:tcPr>
          <w:p>
            <w:pPr>
              <w:pStyle w:val="89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462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/>
          </w:tcPr>
          <w:p>
            <w:pPr>
              <w:pStyle w:val="89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Реализация образовательных программ </w:t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89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среднего профессионального образования - программ подготовки</w:t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89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специалистов среднего звена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/>
          </w:tcPr>
          <w:p>
            <w:pPr>
              <w:pStyle w:val="89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017" w:type="dxa"/>
            <w:vMerge w:val="restart"/>
            <w:textDirection w:val="lrTb"/>
            <w:noWrap/>
          </w:tcPr>
          <w:p>
            <w:pPr>
              <w:pStyle w:val="89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37.Д56.0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53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/>
          </w:tcPr>
          <w:p>
            <w:pPr>
              <w:pStyle w:val="89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/>
          </w:tcPr>
          <w:p>
            <w:pPr>
              <w:pStyle w:val="89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017" w:type="dxa"/>
            <w:vMerge w:val="continue"/>
            <w:textDirection w:val="lrTb"/>
            <w:noWrap/>
          </w:tcPr>
          <w:p>
            <w:pPr>
              <w:pStyle w:val="89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530"/>
        </w:trPr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15" w:type="dxa"/>
            <w:textDirection w:val="lrTb"/>
            <w:noWrap/>
          </w:tcPr>
          <w:p>
            <w:pPr>
              <w:pStyle w:val="89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2. Категории потребителей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pStyle w:val="89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pStyle w:val="890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Физические лица, имеющие основное общее образование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  <w:p>
            <w:pPr>
              <w:pStyle w:val="890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Физические лица, имеющие среднее общее образование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/>
          </w:tcPr>
          <w:p>
            <w:pPr>
              <w:pStyle w:val="89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17" w:type="dxa"/>
            <w:vMerge w:val="continue"/>
            <w:textDirection w:val="lrTb"/>
            <w:noWrap/>
          </w:tcPr>
          <w:p>
            <w:pPr>
              <w:pStyle w:val="89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</w:tbl>
    <w:p>
      <w:pPr>
        <w:pStyle w:val="890"/>
        <w:rPr>
          <w:rFonts w:ascii="Times New Roman" w:hAnsi="Times New Roman" w:cs="Times New Roman"/>
          <w:color w:val="000000" w:themeColor="text1"/>
        </w:rPr>
        <w:sectPr>
          <w:headerReference w:type="default" r:id="rId9"/>
          <w:footnotePr/>
          <w:endnotePr/>
          <w:type w:val="nextPage"/>
          <w:pgSz w:w="11906" w:h="16838" w:orient="portrait"/>
          <w:pgMar w:top="567" w:right="567" w:bottom="709" w:left="1418" w:header="720" w:footer="720" w:gutter="0"/>
          <w:cols w:num="1" w:sep="0" w:space="720" w:equalWidth="1"/>
          <w:docGrid w:linePitch="360"/>
          <w:titlePg/>
        </w:sect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890"/>
        <w:ind w:left="-567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3. Показатели, характеризующие объем и (или) качество государственной услуги:</w:t>
      </w:r>
      <w:r>
        <w:rPr>
          <w:rFonts w:ascii="Times New Roman" w:hAnsi="Times New Roman" w:cs="Times New Roman"/>
          <w:color w:val="000000" w:themeColor="text1"/>
        </w:rPr>
      </w:r>
    </w:p>
    <w:p>
      <w:pPr>
        <w:ind w:left="-567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ind w:left="-567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3.1. Показатели, характеризующие качество государственной услуги: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tbl>
      <w:tblPr>
        <w:tblW w:w="16018" w:type="dxa"/>
        <w:tblInd w:w="-6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418"/>
        <w:gridCol w:w="1134"/>
        <w:gridCol w:w="992"/>
        <w:gridCol w:w="992"/>
        <w:gridCol w:w="2835"/>
        <w:gridCol w:w="850"/>
        <w:gridCol w:w="709"/>
        <w:gridCol w:w="992"/>
        <w:gridCol w:w="992"/>
        <w:gridCol w:w="1134"/>
        <w:gridCol w:w="568"/>
        <w:gridCol w:w="568"/>
        <w:gridCol w:w="849"/>
      </w:tblGrid>
      <w:tr>
        <w:tblPrEx/>
        <w:trPr>
          <w:trHeight w:val="99"/>
        </w:trPr>
        <w:tc>
          <w:tcPr>
            <w:tcW w:w="993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Уникаль-ный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номер реестровой записи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3544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содержание государственной услуги (по справочникам)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984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(по справочникам)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439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качества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3118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показателя качества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136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Допустимые  (возможные)  отклонения  от  установленных показателей качества государственной услуги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Результаты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оценки степени значимости показателя качества государственной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услуги (в баллах)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462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354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98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559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2025 год (очередной финансовый год)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2026 год (1-й год планового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2027 год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(2-й год планового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процентах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абсолютных показателях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552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ind w:right="-23"/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код по ОКЕИ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outlineLvl w:val="0"/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21"/>
        </w:trPr>
        <w:tc>
          <w:tcPr>
            <w:tcW w:w="993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2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1418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3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4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5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6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2835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7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8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9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10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11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12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568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13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568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14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849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15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852101О.99.0.ББ28ШГ28002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23.02.07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Техническое обслуживание и ремонт двигателей, систем и агрегатов автомобилей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обучения по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3.2. Показатели, характеризующие объем государственной услуги: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tbl>
      <w:tblPr>
        <w:tblW w:w="16302" w:type="dxa"/>
        <w:tblInd w:w="-789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701"/>
        <w:gridCol w:w="1276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>
        <w:tblPrEx/>
        <w:trPr>
          <w:trHeight w:val="56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Уникаль-ный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номер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реест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ровой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записи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9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(по справочникам)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(по справочникам)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35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объема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показателя объема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Размер платы (цена, тариф)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Допустимые  (возможные)  отклонения  от  установленных показателей объема государственной услуги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57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9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6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2025 год (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очеред-ной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финан-совый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2026 год (1-й год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планово-го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2027 год (2-й год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планово-го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2025 год (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очеред-ной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финан-совый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2026 год (1-й год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планово-го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2027 год (2-й год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планово-го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567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процентах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567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абсолютных показателях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49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/>
          </w:tcPr>
          <w:p>
            <w:pPr>
              <w:ind w:right="-23"/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наиме-нование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код по </w:t>
            </w:r>
            <w:hyperlink r:id="rId12" w:tooltip="consultantplus://offline/ref=DC41E2772540CE89436B920E86BEF4F9345B73C5B114AE3A8765A72052AFVDF" w:history="1">
              <w:r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  <w:r/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21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9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11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12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13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14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16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17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2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852101О.99.0.ББ28ШГ28002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23.02.07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Техническое обслуживание и ремонт двигателей, систем и агрегатов автомобилей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</w:tbl>
    <w:p>
      <w:pPr>
        <w:pStyle w:val="890"/>
        <w:jc w:val="center"/>
        <w:rPr>
          <w:rFonts w:ascii="Times New Roman" w:hAnsi="Times New Roman" w:cs="Times New Roman"/>
          <w:sz w:val="4"/>
        </w:rPr>
      </w:pPr>
      <w:r>
        <w:rPr>
          <w:rFonts w:ascii="Times New Roman" w:hAnsi="Times New Roman" w:cs="Times New Roman"/>
          <w:sz w:val="4"/>
        </w:rPr>
      </w:r>
      <w:r>
        <w:rPr>
          <w:rFonts w:ascii="Times New Roman" w:hAnsi="Times New Roman" w:cs="Times New Roman"/>
          <w:sz w:val="4"/>
        </w:rPr>
      </w:r>
    </w:p>
    <w:p>
      <w:pPr>
        <w:pStyle w:val="890"/>
      </w:pPr>
      <w:r/>
      <w:r/>
    </w:p>
    <w:p>
      <w:pPr>
        <w:pStyle w:val="890"/>
        <w:sectPr>
          <w:footnotePr/>
          <w:endnotePr/>
          <w:type w:val="nextPage"/>
          <w:pgSz w:w="16838" w:h="11906" w:orient="landscape"/>
          <w:pgMar w:top="709" w:right="567" w:bottom="993" w:left="1134" w:header="454" w:footer="720" w:gutter="0"/>
          <w:cols w:num="1" w:sep="0" w:space="720" w:equalWidth="1"/>
          <w:docGrid w:linePitch="360"/>
          <w:titlePg/>
        </w:sectPr>
      </w:pPr>
      <w:r>
        <w:br w:type="page" w:clear="all"/>
      </w:r>
      <w:r/>
    </w:p>
    <w:p>
      <w:pPr>
        <w:ind w:left="567"/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4. Нормативные правовые акты, устанавливающие размер платы (цену, тариф) либо порядок ее (его) установления:</w:t>
      </w:r>
      <w:r>
        <w:rPr>
          <w:rFonts w:ascii="Times New Roman" w:hAnsi="Times New Roman" w:cs="Times New Roman"/>
          <w:color w:val="000000" w:themeColor="text1"/>
        </w:rPr>
      </w:r>
    </w:p>
    <w:p>
      <w:pPr>
        <w:ind w:left="567"/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tbl>
      <w:tblPr>
        <w:tblW w:w="5000" w:type="pct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1739"/>
        <w:gridCol w:w="2195"/>
        <w:gridCol w:w="1739"/>
        <w:gridCol w:w="1741"/>
        <w:gridCol w:w="3057"/>
      </w:tblGrid>
      <w:tr>
        <w:tblPrEx/>
        <w:trPr/>
        <w:tc>
          <w:tcPr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000" w:type="pct"/>
            <w:textDirection w:val="lrTb"/>
            <w:noWrap/>
          </w:tcPr>
          <w:p>
            <w:pPr>
              <w:ind w:left="567"/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Нормативный правовой акт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74" w:type="pct"/>
            <w:textDirection w:val="lrTb"/>
            <w:noWrap/>
          </w:tcPr>
          <w:p>
            <w:pPr>
              <w:ind w:left="567"/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вид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74" w:type="pct"/>
            <w:textDirection w:val="lrTb"/>
            <w:noWrap/>
          </w:tcPr>
          <w:p>
            <w:pPr>
              <w:ind w:left="567"/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принявший орган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74" w:type="pct"/>
            <w:textDirection w:val="lrTb"/>
            <w:noWrap/>
          </w:tcPr>
          <w:p>
            <w:pPr>
              <w:ind w:left="567"/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дата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75" w:type="pct"/>
            <w:textDirection w:val="lrTb"/>
            <w:noWrap/>
          </w:tcPr>
          <w:p>
            <w:pPr>
              <w:ind w:left="567"/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номер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04" w:type="pct"/>
            <w:textDirection w:val="lrTb"/>
            <w:noWrap/>
          </w:tcPr>
          <w:p>
            <w:pPr>
              <w:ind w:left="567"/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74" w:type="pct"/>
            <w:textDirection w:val="lrTb"/>
            <w:noWrap/>
          </w:tcPr>
          <w:p>
            <w:pPr>
              <w:ind w:left="567"/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74" w:type="pct"/>
            <w:textDirection w:val="lrTb"/>
            <w:noWrap/>
          </w:tcPr>
          <w:p>
            <w:pPr>
              <w:ind w:left="567"/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2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74" w:type="pct"/>
            <w:textDirection w:val="lrTb"/>
            <w:noWrap/>
          </w:tcPr>
          <w:p>
            <w:pPr>
              <w:ind w:left="567"/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3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75" w:type="pct"/>
            <w:textDirection w:val="lrTb"/>
            <w:noWrap/>
          </w:tcPr>
          <w:p>
            <w:pPr>
              <w:ind w:left="567"/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4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04" w:type="pct"/>
            <w:textDirection w:val="lrTb"/>
            <w:noWrap/>
          </w:tcPr>
          <w:p>
            <w:pPr>
              <w:ind w:left="567"/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5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74" w:type="pct"/>
            <w:textDirection w:val="lrTb"/>
            <w:noWrap/>
          </w:tcPr>
          <w:p>
            <w:pPr>
              <w:ind w:left="567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  <w:outlineLvl w:val="0"/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74" w:type="pct"/>
            <w:textDirection w:val="lrTb"/>
            <w:noWrap/>
          </w:tcPr>
          <w:p>
            <w:pPr>
              <w:ind w:left="567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74" w:type="pct"/>
            <w:textDirection w:val="lrTb"/>
            <w:noWrap/>
          </w:tcPr>
          <w:p>
            <w:pPr>
              <w:ind w:left="567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75" w:type="pct"/>
            <w:textDirection w:val="lrTb"/>
            <w:noWrap/>
          </w:tcPr>
          <w:p>
            <w:pPr>
              <w:ind w:left="567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04" w:type="pct"/>
            <w:textDirection w:val="lrTb"/>
            <w:noWrap/>
          </w:tcPr>
          <w:p>
            <w:pPr>
              <w:ind w:left="567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</w:tbl>
    <w:p>
      <w:pPr>
        <w:ind w:left="567"/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ind w:left="567"/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5. Порядок оказания государственной услуги:</w:t>
      </w:r>
      <w:r>
        <w:rPr>
          <w:rFonts w:ascii="Times New Roman" w:hAnsi="Times New Roman" w:cs="Times New Roman"/>
          <w:color w:val="000000" w:themeColor="text1"/>
        </w:rPr>
      </w:r>
    </w:p>
    <w:p>
      <w:pPr>
        <w:ind w:left="567"/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5.1. Нормативные правовые акты, регулирующие порядок оказания государственной услуги:</w:t>
      </w:r>
      <w:r>
        <w:rPr>
          <w:rFonts w:ascii="Times New Roman" w:hAnsi="Times New Roman" w:cs="Times New Roman"/>
          <w:color w:val="000000" w:themeColor="text1"/>
        </w:rPr>
      </w:r>
    </w:p>
    <w:tbl>
      <w:tblPr>
        <w:tblW w:w="10361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0361"/>
      </w:tblGrid>
      <w:tr>
        <w:tblPrEx/>
        <w:trPr>
          <w:trHeight w:val="57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361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Федеральный закон от 29.12.2012 № 273-ФЗ «Об образовании в Российской Федерации»; </w:t>
            </w:r>
            <w:r>
              <w:rPr>
                <w:rFonts w:ascii="Times New Roman" w:hAnsi="Times New Roman" w:eastAsia="Times New Roman" w:cs="Times New Roman"/>
              </w:rPr>
            </w:r>
          </w:p>
        </w:tc>
      </w:tr>
      <w:tr>
        <w:tblPrEx/>
        <w:trPr>
          <w:trHeight w:val="71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361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Федеральный закон от 21.12.2021 № 414-ФЗ «Об общих принципах организации публичной власти в субъектах Российской Федерации»;</w:t>
            </w:r>
            <w:r>
              <w:rPr>
                <w:rFonts w:ascii="Times New Roman" w:hAnsi="Times New Roman" w:eastAsia="Times New Roman" w:cs="Times New Roman"/>
              </w:rPr>
            </w:r>
          </w:p>
        </w:tc>
      </w:tr>
      <w:tr>
        <w:tblPrEx/>
        <w:trPr>
          <w:trHeight w:val="56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361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Закон Новосибирской области от 05.07.2013 № 361-ОЗ «О регулировании отношений в сфере образования в Новосибирской области»;</w:t>
            </w:r>
            <w:r>
              <w:rPr>
                <w:rFonts w:ascii="Times New Roman" w:hAnsi="Times New Roman" w:eastAsia="Times New Roman" w:cs="Times New Roman"/>
              </w:rPr>
            </w:r>
          </w:p>
        </w:tc>
      </w:tr>
      <w:tr>
        <w:tblPrEx/>
        <w:trPr>
          <w:trHeight w:val="73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361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Приказ </w:t>
            </w:r>
            <w:r>
              <w:rPr>
                <w:rFonts w:ascii="Times New Roman" w:hAnsi="Times New Roman" w:eastAsia="Times New Roman" w:cs="Times New Roman"/>
              </w:rPr>
              <w:t xml:space="preserve">Минобрнауки</w:t>
            </w:r>
            <w:r>
              <w:rPr>
                <w:rFonts w:ascii="Times New Roman" w:hAnsi="Times New Roman" w:eastAsia="Times New Roman" w:cs="Times New Roman"/>
              </w:rPr>
              <w:t xml:space="preserve"> РФ от 29.10.2013 № 1199 «Об утверждении перечней профессий и специальностей среднего профессионального образования».</w:t>
            </w:r>
            <w:r>
              <w:rPr>
                <w:rFonts w:ascii="Times New Roman" w:hAnsi="Times New Roman" w:eastAsia="Times New Roman" w:cs="Times New Roman"/>
              </w:rPr>
            </w:r>
          </w:p>
        </w:tc>
      </w:tr>
      <w:tr>
        <w:tblPrEx/>
        <w:trPr>
          <w:trHeight w:val="735"/>
        </w:trPr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361" w:type="dxa"/>
            <w:vAlign w:val="center"/>
            <w:vMerge w:val="restart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1"/>
                <w:szCs w:val="21"/>
              </w:rPr>
              <w:t xml:space="preserve">Приказ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Министерства просвещения Российской Федерации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от 17.05.2022 № 336 «Об утверждении перечней профессий и специальностей среднего профессионального образования и установлении соответствия отдельных профессий и специальностей среднего профессионального образования, указанных в этих перечнях, профессиям и 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специальностям среднего профессионального образования, перечни которых утверждены приказом министерства образования и науки Российской Федерации от 29.10.2013 №1199 «Об утверждении перечней профессий и специальностей среднего профессионального образования»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1"/>
                <w:szCs w:val="21"/>
              </w:rPr>
              <w:t xml:space="preserve">.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1"/>
                <w:szCs w:val="21"/>
              </w:rPr>
            </w:r>
          </w:p>
        </w:tc>
      </w:tr>
    </w:tbl>
    <w:p>
      <w:pPr>
        <w:ind w:left="567"/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ind w:left="567"/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5.2.  Порядок  информирования  потенциальных потребителей  государственной услуги:</w:t>
      </w:r>
      <w:r>
        <w:rPr>
          <w:rFonts w:ascii="Times New Roman" w:hAnsi="Times New Roman" w:cs="Times New Roman"/>
          <w:color w:val="000000" w:themeColor="text1"/>
        </w:rPr>
      </w:r>
    </w:p>
    <w:p>
      <w:pPr>
        <w:ind w:left="567"/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tbl>
      <w:tblPr>
        <w:tblW w:w="5000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2289"/>
        <w:gridCol w:w="5711"/>
        <w:gridCol w:w="2471"/>
      </w:tblGrid>
      <w:tr>
        <w:tblPrEx/>
        <w:trPr/>
        <w:tc>
          <w:tcPr>
            <w:tcW w:w="1093" w:type="pct"/>
            <w:textDirection w:val="lrTb"/>
            <w:noWrap/>
          </w:tcPr>
          <w:p>
            <w:pPr>
              <w:pStyle w:val="896"/>
              <w:ind w:left="567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Способ информирования </w:t>
            </w:r>
            <w:r>
              <w:rPr>
                <w:color w:val="000000" w:themeColor="text1"/>
                <w:szCs w:val="22"/>
              </w:rPr>
            </w:r>
          </w:p>
        </w:tc>
        <w:tc>
          <w:tcPr>
            <w:tcW w:w="2727" w:type="pct"/>
            <w:textDirection w:val="lrTb"/>
            <w:noWrap/>
          </w:tcPr>
          <w:p>
            <w:pPr>
              <w:pStyle w:val="896"/>
              <w:ind w:left="567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Состав размещаемой информации </w:t>
            </w:r>
            <w:r>
              <w:rPr>
                <w:color w:val="000000" w:themeColor="text1"/>
                <w:szCs w:val="22"/>
              </w:rPr>
            </w:r>
          </w:p>
        </w:tc>
        <w:tc>
          <w:tcPr>
            <w:tcW w:w="1180" w:type="pct"/>
            <w:textDirection w:val="lrTb"/>
            <w:noWrap/>
          </w:tcPr>
          <w:p>
            <w:pPr>
              <w:pStyle w:val="896"/>
              <w:ind w:left="567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Частота обновления информации </w:t>
            </w:r>
            <w:r>
              <w:rPr>
                <w:color w:val="000000" w:themeColor="text1"/>
                <w:szCs w:val="22"/>
              </w:rPr>
            </w:r>
          </w:p>
        </w:tc>
      </w:tr>
      <w:tr>
        <w:tblPrEx/>
        <w:trPr/>
        <w:tc>
          <w:tcPr>
            <w:tcW w:w="1093" w:type="pct"/>
            <w:textDirection w:val="lrTb"/>
            <w:noWrap/>
          </w:tcPr>
          <w:p>
            <w:pPr>
              <w:pStyle w:val="896"/>
              <w:ind w:left="567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1 </w:t>
            </w:r>
            <w:r>
              <w:rPr>
                <w:color w:val="000000" w:themeColor="text1"/>
                <w:szCs w:val="22"/>
              </w:rPr>
            </w:r>
          </w:p>
        </w:tc>
        <w:tc>
          <w:tcPr>
            <w:tcW w:w="2727" w:type="pct"/>
            <w:textDirection w:val="lrTb"/>
            <w:noWrap/>
          </w:tcPr>
          <w:p>
            <w:pPr>
              <w:pStyle w:val="896"/>
              <w:ind w:left="567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2 </w:t>
            </w:r>
            <w:r>
              <w:rPr>
                <w:color w:val="000000" w:themeColor="text1"/>
                <w:szCs w:val="22"/>
              </w:rPr>
            </w:r>
          </w:p>
        </w:tc>
        <w:tc>
          <w:tcPr>
            <w:tcW w:w="1180" w:type="pct"/>
            <w:textDirection w:val="lrTb"/>
            <w:noWrap/>
          </w:tcPr>
          <w:p>
            <w:pPr>
              <w:pStyle w:val="896"/>
              <w:ind w:left="567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3 </w:t>
            </w:r>
            <w:r>
              <w:rPr>
                <w:color w:val="000000" w:themeColor="text1"/>
                <w:szCs w:val="22"/>
              </w:rPr>
            </w:r>
          </w:p>
        </w:tc>
      </w:tr>
      <w:tr>
        <w:tblPrEx/>
        <w:trPr/>
        <w:tc>
          <w:tcPr>
            <w:tcW w:w="1093" w:type="pct"/>
            <w:vAlign w:val="center"/>
            <w:textDirection w:val="lrTb"/>
            <w:noWrap/>
          </w:tcPr>
          <w:p>
            <w:pPr>
              <w:ind w:left="56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на сайте профессиональной образовательной организации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2727" w:type="pct"/>
            <w:vAlign w:val="center"/>
            <w:textDirection w:val="lrTb"/>
            <w:noWrap/>
          </w:tcPr>
          <w:p>
            <w:pPr>
              <w:ind w:left="56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соответствии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с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  <w:p>
            <w:pPr>
              <w:ind w:left="56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Постановлением Правительства РФ от 20.10.2021 № 1802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  <w:p>
            <w:pPr>
              <w:ind w:left="56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"Об утверждении Правил размещения на официальном сайте образо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вательной организации в информационно-телекоммуникационной сети "Интернет" и обновления информации об образовательной организации, а также о признании утратившими силу некоторых актов и отдельных положений некоторых актов Правительства Российской Федерации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1180" w:type="pct"/>
            <w:vAlign w:val="center"/>
            <w:textDirection w:val="lrTb"/>
            <w:noWrap/>
          </w:tcPr>
          <w:p>
            <w:pPr>
              <w:ind w:left="56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Постоянно в течение года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  <w:tr>
        <w:tblPrEx/>
        <w:trPr/>
        <w:tc>
          <w:tcPr>
            <w:tcW w:w="1093" w:type="pct"/>
            <w:vAlign w:val="center"/>
            <w:textDirection w:val="lrTb"/>
            <w:noWrap/>
          </w:tcPr>
          <w:p>
            <w:pPr>
              <w:ind w:left="56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средствах массовой информации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2727" w:type="pct"/>
            <w:vAlign w:val="center"/>
            <w:vMerge w:val="restart"/>
            <w:textDirection w:val="lrTb"/>
            <w:noWrap/>
          </w:tcPr>
          <w:p>
            <w:pPr>
              <w:ind w:left="56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Правила приема; условия приема по договорам об оказании платных образовательных услуг; перечень специа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1180" w:type="pct"/>
            <w:vAlign w:val="center"/>
            <w:textDirection w:val="lrTb"/>
            <w:noWrap/>
          </w:tcPr>
          <w:p>
            <w:pPr>
              <w:ind w:left="56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Постоянно в течение года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  <w:tr>
        <w:tblPrEx/>
        <w:trPr/>
        <w:tc>
          <w:tcPr>
            <w:tcW w:w="1093" w:type="pct"/>
            <w:vAlign w:val="center"/>
            <w:textDirection w:val="lrTb"/>
            <w:noWrap/>
          </w:tcPr>
          <w:p>
            <w:pPr>
              <w:ind w:left="56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справочниках, буклетах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2727" w:type="pct"/>
            <w:vAlign w:val="center"/>
            <w:vMerge w:val="continue"/>
            <w:textDirection w:val="lrTb"/>
            <w:noWrap/>
          </w:tcPr>
          <w:p>
            <w:pPr>
              <w:ind w:left="56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1180" w:type="pct"/>
            <w:vAlign w:val="center"/>
            <w:textDirection w:val="lrTb"/>
            <w:noWrap/>
          </w:tcPr>
          <w:p>
            <w:pPr>
              <w:ind w:left="56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 мере необходимости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  <w:tr>
        <w:tblPrEx/>
        <w:trPr/>
        <w:tc>
          <w:tcPr>
            <w:tcW w:w="1093" w:type="pct"/>
            <w:vAlign w:val="center"/>
            <w:textDirection w:val="lrTb"/>
            <w:noWrap/>
          </w:tcPr>
          <w:p>
            <w:pPr>
              <w:ind w:left="56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на информационных стендах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профессиональной образовательной организации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2727" w:type="pct"/>
            <w:vAlign w:val="center"/>
            <w:vMerge w:val="continue"/>
            <w:textDirection w:val="lrTb"/>
            <w:noWrap/>
          </w:tcPr>
          <w:p>
            <w:pPr>
              <w:ind w:left="56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1180" w:type="pct"/>
            <w:vAlign w:val="center"/>
            <w:textDirection w:val="lrTb"/>
            <w:noWrap/>
          </w:tcPr>
          <w:p>
            <w:pPr>
              <w:ind w:left="56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 мере необходимости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  <w:tr>
        <w:tblPrEx/>
        <w:trPr/>
        <w:tc>
          <w:tcPr>
            <w:tcW w:w="1093" w:type="pct"/>
            <w:vAlign w:val="center"/>
            <w:textDirection w:val="lrTb"/>
            <w:noWrap/>
          </w:tcPr>
          <w:p>
            <w:pPr>
              <w:ind w:left="56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Профориентационная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 работа в школах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2727" w:type="pct"/>
            <w:vAlign w:val="center"/>
            <w:vMerge w:val="continue"/>
            <w:textDirection w:val="lrTb"/>
            <w:noWrap/>
          </w:tcPr>
          <w:p>
            <w:pPr>
              <w:ind w:left="56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1180" w:type="pct"/>
            <w:vAlign w:val="center"/>
            <w:textDirection w:val="lrTb"/>
            <w:noWrap/>
          </w:tcPr>
          <w:p>
            <w:pPr>
              <w:ind w:left="56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Постоянно в течение года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</w:tbl>
    <w:p>
      <w:pPr>
        <w:pStyle w:val="890"/>
        <w:ind w:left="567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</w:rPr>
        <w:br w:type="page" w:clear="all"/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pStyle w:val="890"/>
        <w:ind w:left="567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Раздел 2</w:t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890"/>
        <w:ind w:left="567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tbl>
      <w:tblPr>
        <w:tblStyle w:val="895"/>
        <w:tblW w:w="9889" w:type="dxa"/>
        <w:tblLook w:val="04A0" w:firstRow="1" w:lastRow="0" w:firstColumn="1" w:lastColumn="0" w:noHBand="0" w:noVBand="1"/>
      </w:tblPr>
      <w:tblGrid>
        <w:gridCol w:w="7070"/>
        <w:gridCol w:w="2018"/>
        <w:gridCol w:w="1475"/>
      </w:tblGrid>
      <w:tr>
        <w:tblPrEx/>
        <w:trPr>
          <w:trHeight w:val="239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/>
          </w:tcPr>
          <w:p>
            <w:pPr>
              <w:pStyle w:val="890"/>
              <w:ind w:left="56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1. Наименование государственной услуги           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right w:val="none" w:color="000000" w:sz="4" w:space="0"/>
            </w:tcBorders>
            <w:tcW w:w="1557" w:type="dxa"/>
            <w:vAlign w:val="center"/>
            <w:vMerge w:val="restart"/>
            <w:textDirection w:val="lrTb"/>
            <w:noWrap/>
          </w:tcPr>
          <w:p>
            <w:pPr>
              <w:ind w:left="567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Код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по</w:t>
            </w:r>
            <w:r>
              <w:rPr>
                <w:color w:val="000000" w:themeColor="text1"/>
                <w:sz w:val="20"/>
                <w:szCs w:val="20"/>
              </w:rPr>
            </w:r>
          </w:p>
          <w:p>
            <w:pPr>
              <w:ind w:left="567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базовому</w:t>
            </w:r>
            <w:r>
              <w:rPr>
                <w:color w:val="000000" w:themeColor="text1"/>
                <w:sz w:val="20"/>
                <w:szCs w:val="20"/>
              </w:rPr>
            </w:r>
          </w:p>
          <w:p>
            <w:pPr>
              <w:ind w:left="567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(отраслевому)</w:t>
            </w:r>
            <w:r>
              <w:rPr>
                <w:color w:val="000000" w:themeColor="text1"/>
                <w:sz w:val="20"/>
                <w:szCs w:val="20"/>
              </w:rPr>
            </w:r>
          </w:p>
          <w:p>
            <w:pPr>
              <w:ind w:left="567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перечню или региональному перечню</w:t>
            </w:r>
            <w:r>
              <w:rPr>
                <w:color w:val="000000" w:themeColor="text1"/>
                <w:sz w:val="20"/>
                <w:szCs w:val="20"/>
              </w:rPr>
            </w:r>
          </w:p>
          <w:p>
            <w:pPr>
              <w:pStyle w:val="890"/>
              <w:ind w:left="567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17" w:type="dxa"/>
            <w:textDirection w:val="lrTb"/>
            <w:noWrap/>
          </w:tcPr>
          <w:p>
            <w:pPr>
              <w:pStyle w:val="890"/>
              <w:ind w:left="56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blPrEx/>
        <w:trPr>
          <w:trHeight w:val="222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/>
          </w:tcPr>
          <w:p>
            <w:pPr>
              <w:pStyle w:val="890"/>
              <w:ind w:left="56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none" w:color="000000" w:sz="4" w:space="0"/>
              <w:right w:val="none" w:color="000000" w:sz="4" w:space="0"/>
            </w:tcBorders>
            <w:tcW w:w="1557" w:type="dxa"/>
            <w:vMerge w:val="continue"/>
            <w:textDirection w:val="lrTb"/>
            <w:noWrap/>
          </w:tcPr>
          <w:p>
            <w:pPr>
              <w:pStyle w:val="890"/>
              <w:ind w:left="56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1017" w:type="dxa"/>
            <w:textDirection w:val="lrTb"/>
            <w:noWrap/>
          </w:tcPr>
          <w:p>
            <w:pPr>
              <w:pStyle w:val="890"/>
              <w:ind w:left="56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blPrEx/>
        <w:trPr>
          <w:trHeight w:val="462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/>
          </w:tcPr>
          <w:p>
            <w:pPr>
              <w:pStyle w:val="890"/>
              <w:ind w:left="56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Реализация образовательных программ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pStyle w:val="890"/>
              <w:ind w:left="56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среднего профессионального образования - программ подготовки квалифицированных рабочих, служащих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/>
          </w:tcPr>
          <w:p>
            <w:pPr>
              <w:pStyle w:val="890"/>
              <w:ind w:left="56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017" w:type="dxa"/>
            <w:vMerge w:val="restart"/>
            <w:textDirection w:val="lrTb"/>
            <w:noWrap/>
          </w:tcPr>
          <w:p>
            <w:pPr>
              <w:pStyle w:val="890"/>
              <w:ind w:left="56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37.Д57.0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blPrEx/>
        <w:trPr>
          <w:trHeight w:val="53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/>
          </w:tcPr>
          <w:p>
            <w:pPr>
              <w:pStyle w:val="890"/>
              <w:ind w:left="56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/>
          </w:tcPr>
          <w:p>
            <w:pPr>
              <w:pStyle w:val="890"/>
              <w:ind w:left="56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017" w:type="dxa"/>
            <w:vMerge w:val="continue"/>
            <w:textDirection w:val="lrTb"/>
            <w:noWrap/>
          </w:tcPr>
          <w:p>
            <w:pPr>
              <w:pStyle w:val="890"/>
              <w:ind w:left="56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blPrEx/>
        <w:trPr>
          <w:trHeight w:val="530"/>
        </w:trPr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15" w:type="dxa"/>
            <w:textDirection w:val="lrTb"/>
            <w:noWrap/>
          </w:tcPr>
          <w:p>
            <w:pPr>
              <w:pStyle w:val="890"/>
              <w:ind w:left="56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2. Категории потребителей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pStyle w:val="890"/>
              <w:ind w:left="56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pStyle w:val="890"/>
              <w:ind w:left="567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Физические лица, имеющие основное общее образование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  <w:p>
            <w:pPr>
              <w:pStyle w:val="890"/>
              <w:ind w:left="56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Физические лица, имеющие среднее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/>
          </w:tcPr>
          <w:p>
            <w:pPr>
              <w:pStyle w:val="890"/>
              <w:ind w:left="56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17" w:type="dxa"/>
            <w:vMerge w:val="continue"/>
            <w:textDirection w:val="lrTb"/>
            <w:noWrap/>
          </w:tcPr>
          <w:p>
            <w:pPr>
              <w:pStyle w:val="890"/>
              <w:ind w:left="56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</w:tbl>
    <w:p>
      <w:pPr>
        <w:pStyle w:val="890"/>
        <w:ind w:left="567"/>
        <w:jc w:val="center"/>
      </w:pPr>
      <w:r/>
      <w:r/>
    </w:p>
    <w:p>
      <w:pPr>
        <w:pStyle w:val="890"/>
        <w:jc w:val="center"/>
      </w:pPr>
      <w:r/>
      <w:r/>
    </w:p>
    <w:p>
      <w:pPr>
        <w:pStyle w:val="890"/>
        <w:jc w:val="center"/>
      </w:pPr>
      <w:r/>
      <w:r/>
    </w:p>
    <w:p>
      <w:pPr>
        <w:pStyle w:val="890"/>
        <w:jc w:val="center"/>
      </w:pPr>
      <w:r/>
      <w:r/>
    </w:p>
    <w:p>
      <w:pPr>
        <w:pStyle w:val="890"/>
        <w:jc w:val="center"/>
      </w:pPr>
      <w:r/>
      <w:r/>
    </w:p>
    <w:p>
      <w:pPr>
        <w:pStyle w:val="890"/>
        <w:jc w:val="center"/>
      </w:pPr>
      <w:r/>
      <w:r/>
    </w:p>
    <w:p>
      <w:pPr>
        <w:pStyle w:val="890"/>
        <w:jc w:val="center"/>
      </w:pPr>
      <w:r/>
      <w:r/>
    </w:p>
    <w:p>
      <w:pPr>
        <w:pStyle w:val="890"/>
        <w:jc w:val="center"/>
      </w:pPr>
      <w:r/>
      <w:r/>
    </w:p>
    <w:p>
      <w:pPr>
        <w:pStyle w:val="890"/>
        <w:jc w:val="center"/>
      </w:pPr>
      <w:r/>
      <w:r/>
    </w:p>
    <w:p>
      <w:pPr>
        <w:pStyle w:val="890"/>
      </w:pPr>
      <w:r/>
      <w:r/>
    </w:p>
    <w:p>
      <w:pPr>
        <w:pStyle w:val="890"/>
        <w:jc w:val="center"/>
        <w:sectPr>
          <w:footnotePr/>
          <w:endnotePr/>
          <w:type w:val="nextPage"/>
          <w:pgSz w:w="11906" w:h="16838" w:orient="portrait"/>
          <w:pgMar w:top="567" w:right="566" w:bottom="1134" w:left="993" w:header="454" w:footer="720" w:gutter="0"/>
          <w:cols w:num="1" w:sep="0" w:space="720" w:equalWidth="1"/>
          <w:docGrid w:linePitch="360"/>
          <w:titlePg/>
        </w:sectPr>
      </w:pPr>
      <w:r/>
      <w:r/>
    </w:p>
    <w:p>
      <w:pPr>
        <w:pStyle w:val="890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890"/>
        <w:ind w:left="-567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3. Показатели, характеризующие объем и (или) качество государственной услуги:</w:t>
      </w:r>
      <w:r>
        <w:rPr>
          <w:rFonts w:ascii="Times New Roman" w:hAnsi="Times New Roman" w:cs="Times New Roman"/>
          <w:color w:val="000000" w:themeColor="text1"/>
        </w:rPr>
      </w:r>
    </w:p>
    <w:p>
      <w:pPr>
        <w:ind w:left="-567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ind w:left="-567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3.1. Показатели, характеризующие качество государственной услуги: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tbl>
      <w:tblPr>
        <w:tblW w:w="16018" w:type="dxa"/>
        <w:tblInd w:w="-6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418"/>
        <w:gridCol w:w="1134"/>
        <w:gridCol w:w="992"/>
        <w:gridCol w:w="992"/>
        <w:gridCol w:w="2835"/>
        <w:gridCol w:w="850"/>
        <w:gridCol w:w="709"/>
        <w:gridCol w:w="992"/>
        <w:gridCol w:w="992"/>
        <w:gridCol w:w="1134"/>
        <w:gridCol w:w="568"/>
        <w:gridCol w:w="568"/>
        <w:gridCol w:w="849"/>
      </w:tblGrid>
      <w:tr>
        <w:tblPrEx/>
        <w:trPr>
          <w:trHeight w:val="99"/>
        </w:trPr>
        <w:tc>
          <w:tcPr>
            <w:tcW w:w="993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Уникаль-ный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номер реестровой записи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3544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содержание государственной услуги (по справочникам)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984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(по справочникам)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439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качества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3118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показателя качества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136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Допустимые  (возможные)  отклонения  от  установленных показателей качества государственной услуги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Результаты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оценки степени значимости показателя качества государственной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услуги (в баллах)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462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354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98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559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2025 год (очередной финансовый год)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2026 год (1-й год планового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2027 год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(2-й год планового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процентах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абсолютных показателях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552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ind w:right="-23"/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код по ОКЕИ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outlineLvl w:val="0"/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21"/>
        </w:trPr>
        <w:tc>
          <w:tcPr>
            <w:tcW w:w="993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2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1418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3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4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5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6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2835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7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8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9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10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11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12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568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13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568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14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849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15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</w:tr>
      <w:tr>
        <w:tblPrEx/>
        <w:trPr>
          <w:trHeight w:val="105"/>
        </w:trPr>
        <w:tc>
          <w:tcPr>
            <w:tcW w:w="993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852101О.99.0.ББ29ТГ04002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23.01.17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 xml:space="preserve">Мастер по ремонту и обслуживанию автомобилей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583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82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550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обучения по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852101О.99.0.ББ29ОМ36000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35.01.11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 xml:space="preserve">Мастер сельскохозяйственного производства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849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обучения по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776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852100О.99.0.БО83МО12000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</w:p>
        </w:tc>
        <w:tc>
          <w:tcPr>
            <w:tcW w:w="1418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35.01.27 Мастер сельскохозяйственного производства</w:t>
            </w:r>
            <w:r>
              <w:rPr>
                <w:color w:val="000000" w:themeColor="text1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Не указано</w:t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</w:p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W w:w="2835" w:type="dxa"/>
            <w:vAlign w:val="center"/>
            <w:vMerge w:val="restart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509"/>
        </w:trPr>
        <w:tc>
          <w:tcPr>
            <w:tcW w:w="993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1418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2835" w:type="dxa"/>
            <w:vAlign w:val="center"/>
            <w:vMerge w:val="restart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509"/>
        </w:trPr>
        <w:tc>
          <w:tcPr>
            <w:tcW w:w="993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1418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2835" w:type="dxa"/>
            <w:vAlign w:val="center"/>
            <w:vMerge w:val="restart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509"/>
        </w:trPr>
        <w:tc>
          <w:tcPr>
            <w:tcW w:w="993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1418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2835" w:type="dxa"/>
            <w:vAlign w:val="center"/>
            <w:vMerge w:val="restart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обучения по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509"/>
        </w:trPr>
        <w:tc>
          <w:tcPr>
            <w:tcW w:w="993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1418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2835" w:type="dxa"/>
            <w:vAlign w:val="center"/>
            <w:vMerge w:val="restart"/>
            <w:textDirection w:val="lrTb"/>
            <w:noWrap/>
          </w:tcPr>
          <w:p>
            <w:pPr>
              <w:spacing w:after="0" w:line="240" w:lineRule="auto"/>
              <w:rPr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color w:val="000000" w:themeColor="text1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105"/>
        </w:trPr>
        <w:tc>
          <w:tcPr>
            <w:tcW w:w="993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852101О.99.0.ББ29ПА64000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35.01.23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Хозяйк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а(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ин) усадьбы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866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1066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550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обучения по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852101О.99.0.ББ29ТД48002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43.01.09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 xml:space="preserve">Повар, кондитер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обучения по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</w:tbl>
    <w:p>
      <w:pPr>
        <w:shd w:val="nil" w:color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br w:type="page" w:clear="all"/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3.2. Показатели, характеризующие объем государственной услуги: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tbl>
      <w:tblPr>
        <w:tblW w:w="16302" w:type="dxa"/>
        <w:tblInd w:w="-789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701"/>
        <w:gridCol w:w="1276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>
        <w:tblPrEx/>
        <w:trPr>
          <w:trHeight w:val="56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Уникаль-ный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номер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реест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ровой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записи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9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(по справочникам)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(по справочникам)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35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объема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показателя объема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Размер платы (цена, тариф)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Допустимые  (возможные)  отклонения  от  установленных показателей объема государственной услуги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57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9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6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очеред-ной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финан-совый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планово-го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(2-й год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планово-го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очеред-ной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финан-совый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планово-го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(2-й год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планово-го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567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процентах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567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абсолютных показателях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49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/>
          </w:tcPr>
          <w:p>
            <w:pPr>
              <w:ind w:right="-23"/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наиме-нование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код по </w:t>
            </w:r>
            <w:hyperlink r:id="rId13" w:tooltip="consultantplus://offline/ref=DC41E2772540CE89436B920E86BEF4F9345B73C5B114AE3A8765A72052AFVDF" w:history="1">
              <w:r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  <w:r/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21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9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11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12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13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14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16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17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2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852101О.99.0.ББ29ТГ04002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23.01.17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 xml:space="preserve">Мастер по ремонту и обслуживанию автомобилей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9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9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9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2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852101О.99.0.ББ29ОМ36000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35.01.11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 xml:space="preserve">Мастер сельскохозяйственного производства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26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26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26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85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852100О.99.0.БО83МО12000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35.01.27 Мастер сельскохозяйственного производства</w:t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Не указано</w:t>
            </w:r>
            <w:r>
              <w:rPr>
                <w:color w:val="000000" w:themeColor="text1"/>
              </w:rPr>
            </w:r>
          </w:p>
          <w:p>
            <w:pPr>
              <w:jc w:val="center"/>
              <w:spacing w:after="0" w:line="240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Очная</w:t>
            </w:r>
            <w:r>
              <w:rPr>
                <w:color w:val="000000" w:themeColor="text1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45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45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45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blPrEx/>
        <w:trPr>
          <w:trHeight w:val="32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852101О.99.0.ББ29ПА64000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35.01.23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Хозяйк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а(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ин) усадьбы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2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852101О.99.0.ББ29ТД48002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43.01.09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 xml:space="preserve">Повар, кондитер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</w:tbl>
    <w:p>
      <w:pPr>
        <w:pStyle w:val="890"/>
        <w:jc w:val="center"/>
        <w:rPr>
          <w:rFonts w:ascii="Times New Roman" w:hAnsi="Times New Roman" w:cs="Times New Roman"/>
          <w:color w:val="000000" w:themeColor="text1"/>
          <w:sz w:val="4"/>
        </w:rPr>
      </w:pPr>
      <w:r>
        <w:rPr>
          <w:rFonts w:ascii="Times New Roman" w:hAnsi="Times New Roman" w:cs="Times New Roman"/>
          <w:color w:val="000000" w:themeColor="text1"/>
          <w:sz w:val="4"/>
        </w:rPr>
      </w:r>
      <w:r>
        <w:rPr>
          <w:rFonts w:ascii="Times New Roman" w:hAnsi="Times New Roman" w:cs="Times New Roman"/>
          <w:color w:val="000000" w:themeColor="text1"/>
          <w:sz w:val="4"/>
        </w:rPr>
      </w:r>
    </w:p>
    <w:p>
      <w:pPr>
        <w:pStyle w:val="890"/>
        <w:jc w:val="center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890"/>
        <w:jc w:val="center"/>
        <w:rPr>
          <w:color w:val="000000" w:themeColor="text1"/>
        </w:rPr>
        <w:sectPr>
          <w:footnotePr/>
          <w:endnotePr/>
          <w:type w:val="nextPage"/>
          <w:pgSz w:w="16838" w:h="11906" w:orient="landscape"/>
          <w:pgMar w:top="709" w:right="567" w:bottom="993" w:left="1134" w:header="454" w:footer="720" w:gutter="0"/>
          <w:cols w:num="1" w:sep="0" w:space="720" w:equalWidth="1"/>
          <w:docGrid w:linePitch="360"/>
          <w:titlePg/>
        </w:sect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890"/>
        <w:jc w:val="center"/>
        <w:rPr>
          <w:rFonts w:ascii="Times New Roman" w:hAnsi="Times New Roman" w:cs="Times New Roman"/>
          <w:color w:val="000000" w:themeColor="text1"/>
          <w:szCs w:val="22"/>
        </w:rPr>
      </w:pPr>
      <w:r>
        <w:rPr>
          <w:rFonts w:ascii="Times New Roman" w:hAnsi="Times New Roman" w:cs="Times New Roman"/>
          <w:color w:val="000000" w:themeColor="text1"/>
          <w:szCs w:val="22"/>
        </w:rPr>
      </w:r>
      <w:r>
        <w:rPr>
          <w:rFonts w:ascii="Times New Roman" w:hAnsi="Times New Roman" w:cs="Times New Roman"/>
          <w:color w:val="000000" w:themeColor="text1"/>
          <w:szCs w:val="22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4. Нормативные правовые акты, устанавливающие размер платы (цену, тариф) либо порядок ее (его) установления:</w:t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tbl>
      <w:tblPr>
        <w:tblW w:w="0" w:type="auto"/>
        <w:tblInd w:w="62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>
        <w:tblPrEx/>
        <w:trPr/>
        <w:tc>
          <w:tcPr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61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Нормативный правовой акт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вид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принявший орган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дата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номер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2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3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4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5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  <w:outlineLvl w:val="0"/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5. Порядок оказания государственной услуги:</w:t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5.1. Нормативные правовые акты, регулирующие порядок оказания государственной услуги:</w:t>
      </w:r>
      <w:r>
        <w:rPr>
          <w:rFonts w:ascii="Times New Roman" w:hAnsi="Times New Roman" w:cs="Times New Roman"/>
          <w:color w:val="000000" w:themeColor="text1"/>
        </w:rPr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>
        <w:tblPrEx/>
        <w:trPr>
          <w:trHeight w:val="57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Федеральный закон от 29.12.2012 № 273-ФЗ «Об образовании в Российской Федерации»; </w:t>
            </w:r>
            <w:r>
              <w:rPr>
                <w:rFonts w:ascii="Times New Roman" w:hAnsi="Times New Roman" w:eastAsia="Times New Roman" w:cs="Times New Roman"/>
              </w:rPr>
            </w:r>
          </w:p>
        </w:tc>
      </w:tr>
      <w:tr>
        <w:tblPrEx/>
        <w:trPr>
          <w:trHeight w:val="71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Федеральный закон от 21.12.2021 № 414-ФЗ «Об общих принципах организации публичной власти в субъектах Российской Федерации»;</w:t>
            </w:r>
            <w:r>
              <w:rPr>
                <w:rFonts w:ascii="Times New Roman" w:hAnsi="Times New Roman" w:eastAsia="Times New Roman" w:cs="Times New Roman"/>
              </w:rPr>
            </w:r>
          </w:p>
        </w:tc>
      </w:tr>
      <w:tr>
        <w:tblPrEx/>
        <w:trPr>
          <w:trHeight w:val="73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Закон Новосибирской области от 05.07.2013 № 361-ОЗ «О регулировании отношений в сфере образования в Новосибирской области»;</w:t>
            </w:r>
            <w:r>
              <w:rPr>
                <w:rFonts w:ascii="Times New Roman" w:hAnsi="Times New Roman" w:eastAsia="Times New Roman" w:cs="Times New Roman"/>
              </w:rPr>
            </w:r>
          </w:p>
        </w:tc>
      </w:tr>
      <w:tr>
        <w:tblPrEx/>
        <w:trPr>
          <w:trHeight w:val="73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Приказ </w:t>
            </w:r>
            <w:r>
              <w:rPr>
                <w:rFonts w:ascii="Times New Roman" w:hAnsi="Times New Roman" w:eastAsia="Times New Roman" w:cs="Times New Roman"/>
              </w:rPr>
              <w:t xml:space="preserve">Минобрнауки</w:t>
            </w:r>
            <w:r>
              <w:rPr>
                <w:rFonts w:ascii="Times New Roman" w:hAnsi="Times New Roman" w:eastAsia="Times New Roman" w:cs="Times New Roman"/>
              </w:rPr>
              <w:t xml:space="preserve"> РФ от 29.10.2013 № 1199 «Об утверждении перечней профессий и специальностей среднего профессионального образования».</w:t>
            </w:r>
            <w:r>
              <w:rPr>
                <w:rFonts w:ascii="Times New Roman" w:hAnsi="Times New Roman" w:eastAsia="Times New Roman" w:cs="Times New Roman"/>
              </w:rPr>
            </w:r>
          </w:p>
        </w:tc>
      </w:tr>
      <w:tr>
        <w:tblPrEx/>
        <w:trPr>
          <w:trHeight w:val="735"/>
        </w:trPr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vMerge w:val="restart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1"/>
                <w:szCs w:val="21"/>
              </w:rPr>
              <w:t xml:space="preserve">Приказ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Министерства просвещения Российской Федерации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от 17.05.2022 № 336 «Об утверждении перечней профессий и специальностей среднего профессионального образования и установлении соответствия отдельных профессий и специальностей среднего профессионального образования, указанных в этих перечнях, профессиям и 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специальностям среднего профессионального образования, перечни которых утверждены приказом министерства образования и науки Российской Федерации от 29.10.2013 №1199 «Об утверждении перечней профессий и специальностей среднего профессионального образования»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1"/>
                <w:szCs w:val="21"/>
              </w:rPr>
              <w:t xml:space="preserve">.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1"/>
                <w:szCs w:val="21"/>
              </w:rPr>
            </w:r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5.2.  Порядок  информирования  потенциальных  потребителей  государственной услуги:</w:t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tbl>
      <w:tblPr>
        <w:tblW w:w="0" w:type="auto"/>
        <w:tblInd w:w="6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>
        <w:tblPrEx/>
        <w:trPr/>
        <w:tc>
          <w:tcPr>
            <w:tcW w:w="3193" w:type="dxa"/>
            <w:textDirection w:val="lrTb"/>
            <w:noWrap/>
          </w:tcPr>
          <w:p>
            <w:pPr>
              <w:pStyle w:val="896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Способ информирования </w:t>
            </w:r>
            <w:r>
              <w:rPr>
                <w:color w:val="000000" w:themeColor="text1"/>
                <w:szCs w:val="22"/>
              </w:rPr>
            </w:r>
          </w:p>
        </w:tc>
        <w:tc>
          <w:tcPr>
            <w:tcW w:w="3193" w:type="dxa"/>
            <w:textDirection w:val="lrTb"/>
            <w:noWrap/>
          </w:tcPr>
          <w:p>
            <w:pPr>
              <w:pStyle w:val="896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Состав размещаемой информации </w:t>
            </w:r>
            <w:r>
              <w:rPr>
                <w:color w:val="000000" w:themeColor="text1"/>
                <w:szCs w:val="22"/>
              </w:rPr>
            </w:r>
          </w:p>
        </w:tc>
        <w:tc>
          <w:tcPr>
            <w:tcW w:w="3193" w:type="dxa"/>
            <w:textDirection w:val="lrTb"/>
            <w:noWrap/>
          </w:tcPr>
          <w:p>
            <w:pPr>
              <w:pStyle w:val="896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Частота обновления информации </w:t>
            </w:r>
            <w:r>
              <w:rPr>
                <w:color w:val="000000" w:themeColor="text1"/>
                <w:szCs w:val="22"/>
              </w:rPr>
            </w:r>
          </w:p>
        </w:tc>
      </w:tr>
      <w:tr>
        <w:tblPrEx/>
        <w:trPr/>
        <w:tc>
          <w:tcPr>
            <w:tcW w:w="3193" w:type="dxa"/>
            <w:textDirection w:val="lrTb"/>
            <w:noWrap/>
          </w:tcPr>
          <w:p>
            <w:pPr>
              <w:pStyle w:val="896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1 </w:t>
            </w:r>
            <w:r>
              <w:rPr>
                <w:color w:val="000000" w:themeColor="text1"/>
                <w:szCs w:val="22"/>
              </w:rPr>
            </w:r>
          </w:p>
        </w:tc>
        <w:tc>
          <w:tcPr>
            <w:tcW w:w="3193" w:type="dxa"/>
            <w:textDirection w:val="lrTb"/>
            <w:noWrap/>
          </w:tcPr>
          <w:p>
            <w:pPr>
              <w:pStyle w:val="896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2 </w:t>
            </w:r>
            <w:r>
              <w:rPr>
                <w:color w:val="000000" w:themeColor="text1"/>
                <w:szCs w:val="22"/>
              </w:rPr>
            </w:r>
          </w:p>
        </w:tc>
        <w:tc>
          <w:tcPr>
            <w:tcW w:w="3193" w:type="dxa"/>
            <w:textDirection w:val="lrTb"/>
            <w:noWrap/>
          </w:tcPr>
          <w:p>
            <w:pPr>
              <w:pStyle w:val="896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3 </w:t>
            </w:r>
            <w:r>
              <w:rPr>
                <w:color w:val="000000" w:themeColor="text1"/>
                <w:szCs w:val="22"/>
              </w:rPr>
            </w:r>
          </w:p>
        </w:tc>
      </w:tr>
      <w:tr>
        <w:tblPrEx/>
        <w:trPr/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на сайте профессиональной образовательной организации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соответствии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с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Постановлением Правительства РФ от 20.10.2021 № 1802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"Об утверждении Правил размещения на официальном сайте образо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вательной организации в информационно-телекоммуникационной сети "Интернет" и обновления информации об образовательной организации, а также о признании утратившими силу некоторых актов и отдельных положений некоторых актов Правительства Российской Федерации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Постоянно в течение года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  <w:tr>
        <w:tblPrEx/>
        <w:trPr/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средствах массовой информации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Правила приема; условия приема по договорам об оказании платных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образовательных услуг; перечень специа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Постоянно в течение года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  <w:tr>
        <w:tblPrEx/>
        <w:trPr/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справочниках, буклетах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 мере необходимости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  <w:tr>
        <w:tblPrEx/>
        <w:trPr/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на информационных стендах профессиональной образовательной организации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 мере необходимости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  <w:tr>
        <w:tblPrEx/>
        <w:trPr/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Профориентационная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 работа в школах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Постоянно в течение года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</w:tbl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br w:type="page" w:clear="all"/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/>
      <w:bookmarkStart w:id="0" w:name="_GoBack"/>
      <w:r/>
      <w:bookmarkEnd w:id="0"/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Часть </w:t>
      </w:r>
      <w:r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 xml:space="preserve">III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. Прочие сведения о государственном задании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pStyle w:val="890"/>
        <w:jc w:val="center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890"/>
        <w:jc w:val="center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889"/>
        <w:numPr>
          <w:ilvl w:val="0"/>
          <w:numId w:val="15"/>
        </w:numPr>
        <w:ind w:left="284" w:hanging="284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Основания (условия и порядок) для досрочного прекращения выполнения государственного задания </w:t>
      </w:r>
      <w:r>
        <w:rPr>
          <w:rFonts w:ascii="Times New Roman" w:hAnsi="Times New Roman" w:cs="Times New Roman"/>
          <w:color w:val="000000" w:themeColor="text1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</w:r>
      <w:r>
        <w:rPr>
          <w:rFonts w:ascii="Times New Roman" w:hAnsi="Times New Roman" w:eastAsia="Times New Roman" w:cs="Times New Roman"/>
          <w:color w:val="000000" w:themeColor="text1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Выполнение государственного задания завершается по окончании финансового года. </w:t>
      </w:r>
      <w:r>
        <w:rPr>
          <w:rFonts w:ascii="Times New Roman" w:hAnsi="Times New Roman" w:eastAsia="Times New Roman" w:cs="Times New Roman"/>
          <w:color w:val="000000" w:themeColor="text1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Досрочное прекращение государственного задания возможно при следующих условиях:</w:t>
      </w:r>
      <w:r>
        <w:rPr>
          <w:rFonts w:ascii="Times New Roman" w:hAnsi="Times New Roman" w:eastAsia="Times New Roman" w:cs="Times New Roman"/>
          <w:color w:val="000000" w:themeColor="text1"/>
        </w:rPr>
      </w:r>
    </w:p>
    <w:p>
      <w:pPr>
        <w:contextualSpacing/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- ликвидации, реорганизации профессионального образовательного учреждения;</w:t>
      </w:r>
      <w:r>
        <w:rPr>
          <w:rFonts w:ascii="Times New Roman" w:hAnsi="Times New Roman" w:eastAsia="Times New Roman" w:cs="Times New Roman"/>
          <w:color w:val="000000" w:themeColor="text1"/>
        </w:rPr>
      </w:r>
    </w:p>
    <w:p>
      <w:pPr>
        <w:contextualSpacing/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- исключение государственной услуги из Базового (отраслевого) или регионального перечня государственных услуг (работ);</w:t>
      </w:r>
      <w:r>
        <w:rPr>
          <w:rFonts w:ascii="Times New Roman" w:hAnsi="Times New Roman" w:eastAsia="Times New Roman" w:cs="Times New Roman"/>
          <w:color w:val="000000" w:themeColor="text1"/>
        </w:rPr>
      </w:r>
    </w:p>
    <w:p>
      <w:pPr>
        <w:contextualSpacing/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- иные основания, предусмотренные законодательством.</w:t>
      </w:r>
      <w:r>
        <w:rPr>
          <w:rFonts w:ascii="Times New Roman" w:hAnsi="Times New Roman" w:eastAsia="Times New Roman" w:cs="Times New Roman"/>
          <w:color w:val="000000" w:themeColor="text1"/>
        </w:rPr>
      </w:r>
    </w:p>
    <w:p>
      <w:pPr>
        <w:contextualSpacing/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</w:r>
      <w:r>
        <w:rPr>
          <w:rFonts w:ascii="Times New Roman" w:hAnsi="Times New Roman" w:eastAsia="Times New Roman" w:cs="Times New Roman"/>
          <w:color w:val="000000" w:themeColor="text1"/>
        </w:rPr>
      </w:r>
    </w:p>
    <w:p>
      <w:pPr>
        <w:pStyle w:val="890"/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2.  Иная информация, необходимая для выполнения (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контроля за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выполнением)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890"/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государственного задания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jc w:val="both"/>
        <w:spacing w:after="0" w:line="240" w:lineRule="auto"/>
        <w:rPr>
          <w:rFonts w:ascii="Times New Roman" w:hAnsi="Times New Roman" w:eastAsia="Calibri" w:cs="Times New Roman"/>
          <w:color w:val="000000" w:themeColor="text1"/>
        </w:rPr>
      </w:pPr>
      <w:r>
        <w:rPr>
          <w:rFonts w:ascii="Times New Roman" w:hAnsi="Times New Roman" w:eastAsia="Calibri" w:cs="Times New Roman"/>
          <w:color w:val="000000" w:themeColor="text1"/>
        </w:rPr>
        <w:t xml:space="preserve">Иная информация не требуется.</w:t>
      </w:r>
      <w:r>
        <w:rPr>
          <w:rFonts w:ascii="Times New Roman" w:hAnsi="Times New Roman" w:eastAsia="Calibri" w:cs="Times New Roman"/>
          <w:color w:val="000000" w:themeColor="text1"/>
        </w:rPr>
      </w:r>
    </w:p>
    <w:p>
      <w:pPr>
        <w:pStyle w:val="890"/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890"/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3. Порядок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контроля за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выполнением государственного задания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tbl>
      <w:tblPr>
        <w:tblW w:w="0" w:type="auto"/>
        <w:tblInd w:w="6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3212"/>
        <w:gridCol w:w="3212"/>
        <w:gridCol w:w="3212"/>
      </w:tblGrid>
      <w:tr>
        <w:tblPrEx/>
        <w:trPr/>
        <w:tc>
          <w:tcPr>
            <w:tcW w:w="321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Форма контроля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W w:w="321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Периодичность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W w:w="321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Органы исполнительной власти Новосибирской области, осуществляющие контроль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за выполнением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государственного задания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blPrEx/>
        <w:trPr/>
        <w:tc>
          <w:tcPr>
            <w:tcW w:w="321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W w:w="321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2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W w:w="321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3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blPrEx/>
        <w:trPr/>
        <w:tc>
          <w:tcPr>
            <w:tcW w:w="3212" w:type="dxa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color w:val="000000" w:themeColor="text1"/>
              </w:rPr>
            </w:pPr>
            <w:r>
              <w:rPr>
                <w:rFonts w:ascii="Times New Roman" w:hAnsi="Times New Roman" w:eastAsia="Calibri" w:cs="Times New Roman"/>
                <w:color w:val="000000" w:themeColor="text1"/>
              </w:rPr>
              <w:t xml:space="preserve">Профессиональное образовательное учреждение </w:t>
            </w:r>
            <w:r>
              <w:rPr>
                <w:rFonts w:ascii="Times New Roman" w:hAnsi="Times New Roman" w:eastAsia="Calibri" w:cs="Times New Roman"/>
                <w:color w:val="000000" w:themeColor="text1"/>
              </w:rPr>
              <w:t xml:space="preserve">предоставляет отчет</w:t>
            </w:r>
            <w:r>
              <w:rPr>
                <w:rFonts w:ascii="Times New Roman" w:hAnsi="Times New Roman" w:eastAsia="Calibri" w:cs="Times New Roman"/>
                <w:color w:val="000000" w:themeColor="text1"/>
              </w:rPr>
              <w:t xml:space="preserve"> об исполнении государственного задания по форме, утвержденной постановлением Правительства Новосибирской области от 23.11.2015 № 406-п</w:t>
            </w:r>
            <w:r>
              <w:rPr>
                <w:rFonts w:ascii="Times New Roman" w:hAnsi="Times New Roman" w:eastAsia="Calibri" w:cs="Times New Roman"/>
                <w:color w:val="000000" w:themeColor="text1"/>
              </w:rPr>
            </w:r>
          </w:p>
        </w:tc>
        <w:tc>
          <w:tcPr>
            <w:tcW w:w="3212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color w:val="000000" w:themeColor="text1"/>
              </w:rPr>
            </w:pPr>
            <w:r>
              <w:rPr>
                <w:rFonts w:ascii="Times New Roman" w:hAnsi="Times New Roman" w:eastAsia="Calibri" w:cs="Times New Roman"/>
                <w:color w:val="000000" w:themeColor="text1"/>
              </w:rPr>
              <w:t xml:space="preserve">Ежеквартально, до 10 числа месяца, следующего за отчетным кварталом</w:t>
            </w:r>
            <w:r>
              <w:rPr>
                <w:rFonts w:ascii="Times New Roman" w:hAnsi="Times New Roman" w:eastAsia="Calibri" w:cs="Times New Roman"/>
                <w:color w:val="000000" w:themeColor="text1"/>
              </w:rPr>
            </w:r>
          </w:p>
        </w:tc>
        <w:tc>
          <w:tcPr>
            <w:tcW w:w="3212" w:type="dxa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color w:val="000000" w:themeColor="text1"/>
              </w:rPr>
            </w:pPr>
            <w:r>
              <w:rPr>
                <w:rFonts w:ascii="Times New Roman" w:hAnsi="Times New Roman" w:eastAsia="Calibri" w:cs="Times New Roman"/>
                <w:color w:val="000000" w:themeColor="text1"/>
              </w:rPr>
              <w:t xml:space="preserve">Министерство образования Новосибирской области</w:t>
            </w:r>
            <w:r>
              <w:rPr>
                <w:rFonts w:ascii="Times New Roman" w:hAnsi="Times New Roman" w:eastAsia="Calibri" w:cs="Times New Roman"/>
                <w:color w:val="000000" w:themeColor="text1"/>
              </w:rPr>
            </w:r>
          </w:p>
        </w:tc>
      </w:tr>
    </w:tbl>
    <w:p>
      <w:pPr>
        <w:pStyle w:val="890"/>
        <w:spacing w:line="480" w:lineRule="auto"/>
        <w:rPr>
          <w:color w:val="000000" w:themeColor="text1"/>
          <w:lang w:val="en-US"/>
        </w:rPr>
      </w:pPr>
      <w:r>
        <w:rPr>
          <w:color w:val="000000" w:themeColor="text1"/>
          <w:lang w:val="en-US"/>
        </w:rPr>
      </w:r>
      <w:r>
        <w:rPr>
          <w:color w:val="000000" w:themeColor="text1"/>
          <w:lang w:val="en-US"/>
        </w:rPr>
      </w:r>
    </w:p>
    <w:p>
      <w:pPr>
        <w:pStyle w:val="890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4.Требования к отчетности о выполнении государственного задания: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4.1. Периодичность  представления  отчетов  о  выполнении государственного задания:</w:t>
      </w:r>
      <w:r>
        <w:rPr>
          <w:rFonts w:ascii="Times New Roman" w:hAnsi="Times New Roman" w:eastAsia="Times New Roman" w:cs="Times New Roman"/>
          <w:color w:val="000000" w:themeColor="text1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</w:r>
      <w:r>
        <w:rPr>
          <w:rFonts w:ascii="Times New Roman" w:hAnsi="Times New Roman" w:eastAsia="Times New Roman" w:cs="Times New Roman"/>
          <w:color w:val="000000" w:themeColor="text1"/>
        </w:rPr>
      </w:r>
    </w:p>
    <w:p>
      <w:pPr>
        <w:pStyle w:val="890"/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  <w:t xml:space="preserve">Ежеквартально.</w:t>
      </w: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r>
    </w:p>
    <w:p>
      <w:pPr>
        <w:pStyle w:val="890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890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4.2. Сроки представления отчетов о выполнении государственного задания: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890"/>
        <w:jc w:val="both"/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  <w:t xml:space="preserve">- ежеквартально до 10 числа месяца, следующего </w:t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  <w:t xml:space="preserve">за</w:t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  <w:t xml:space="preserve"> отчётным, по итогам года - до 20 января года, следующего за отчетным;</w:t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</w:p>
    <w:p>
      <w:pPr>
        <w:pStyle w:val="890"/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- представление предварительного отчета о выполнении государственного задания - не позднее 1 ноября отчетного года</w:t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  <w:t xml:space="preserve">.</w:t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</w:p>
    <w:p>
      <w:pPr>
        <w:pStyle w:val="890"/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</w:p>
    <w:p>
      <w:pPr>
        <w:pStyle w:val="890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4.3. Иные требования к отчетности о выполнении государственного задания: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890"/>
        <w:jc w:val="both"/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  <w:t xml:space="preserve">Отчет предоставляется в электронном виде и на бумажном носителе, заверенный подписью руководителя государственного образовательного учреждения и печатью учреждения.</w:t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</w:p>
    <w:p>
      <w:pPr>
        <w:pStyle w:val="890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890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5. Иные показатели, связанные с выполнением государственного задания: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890"/>
        <w:rPr>
          <w:color w:val="000000" w:themeColor="text1"/>
          <w:sz w:val="22"/>
          <w:szCs w:val="22"/>
        </w:rPr>
      </w:pP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  <w:t xml:space="preserve">Иные показатели не требуются.</w:t>
      </w:r>
      <w:r>
        <w:rPr>
          <w:color w:val="000000" w:themeColor="text1"/>
          <w:sz w:val="22"/>
          <w:szCs w:val="22"/>
        </w:rPr>
      </w:r>
    </w:p>
    <w:p>
      <w:pPr>
        <w:pStyle w:val="890"/>
        <w:rPr>
          <w:color w:val="000000" w:themeColor="text1"/>
          <w:sz w:val="28"/>
          <w:lang w:val="en-US"/>
        </w:rPr>
      </w:pPr>
      <w:r>
        <w:rPr>
          <w:color w:val="000000" w:themeColor="text1"/>
          <w:sz w:val="28"/>
          <w:lang w:val="en-US"/>
        </w:rPr>
      </w:r>
      <w:r>
        <w:rPr>
          <w:color w:val="000000" w:themeColor="text1"/>
          <w:sz w:val="28"/>
          <w:lang w:val="en-US"/>
        </w:rPr>
      </w:r>
    </w:p>
    <w:sectPr>
      <w:headerReference w:type="default" r:id="rId10"/>
      <w:footnotePr/>
      <w:endnotePr/>
      <w:type w:val="nextPage"/>
      <w:pgSz w:w="11906" w:h="16838" w:orient="portrait"/>
      <w:pgMar w:top="1134" w:right="567" w:bottom="1134" w:left="1418" w:header="720" w:footer="72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Symbol">
    <w:panose1 w:val="05010000000000000000"/>
  </w:font>
  <w:font w:name="Wingdings">
    <w:panose1 w:val="05010000000000000000"/>
  </w:font>
  <w:font w:name="Times New Roman">
    <w:panose1 w:val="02020603050405020304"/>
  </w:font>
  <w:font w:name="Courier New">
    <w:panose1 w:val="02070309020205020404"/>
  </w:font>
  <w:font w:name="Tahoma">
    <w:panose1 w:val="020B060403050404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1980110020"/>
      <w:docPartObj>
        <w:docPartGallery w:val="Page Numbers (Top of Page)"/>
        <w:docPartUnique w:val="true"/>
      </w:docPartObj>
      <w:rPr/>
    </w:sdtPr>
    <w:sdtContent>
      <w:p>
        <w:pPr>
          <w:pStyle w:val="891"/>
          <w:jc w:val="center"/>
          <w:rPr>
            <w:rFonts w:ascii="Times New Roman" w:hAnsi="Times New Roman" w:cs="Times New Roman"/>
            <w:sz w:val="20"/>
          </w:rPr>
        </w:pPr>
        <w:r>
          <w:rPr>
            <w:rFonts w:ascii="Times New Roman" w:hAnsi="Times New Roman" w:cs="Times New Roman"/>
            <w:sz w:val="20"/>
          </w:rPr>
        </w:r>
        <w:r>
          <w:rPr>
            <w:rFonts w:ascii="Times New Roman" w:hAnsi="Times New Roman" w:cs="Times New Roman"/>
            <w:sz w:val="20"/>
          </w:rPr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91"/>
      <w:jc w:val="center"/>
      <w:rPr>
        <w:rFonts w:ascii="Times New Roman" w:hAnsi="Times New Roman" w:cs="Times New Roman"/>
        <w:sz w:val="20"/>
      </w:rPr>
    </w:pPr>
    <w:r>
      <w:rPr>
        <w:rFonts w:ascii="Times New Roman" w:hAnsi="Times New Roman" w:cs="Times New Roman"/>
        <w:sz w:val="20"/>
      </w:rPr>
    </w:r>
    <w:r>
      <w:rPr>
        <w:rFonts w:ascii="Times New Roman" w:hAnsi="Times New Roman" w:cs="Times New Roman"/>
        <w:sz w:val="20"/>
      </w:rPr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5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5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5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2.%1."/>
      <w:legacy w:legacy="1" w:legacyIndent="869" w:legacySpace="0"/>
      <w:lvlJc w:val="left"/>
      <w:pPr/>
      <w:rPr>
        <w:rFonts w:hint="default"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2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42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4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6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8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0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2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4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6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89" w:hanging="180"/>
      </w:pPr>
    </w:lvl>
  </w:abstractNum>
  <w:abstractNum w:abstractNumId="5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5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5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5" w:hanging="180"/>
      </w:p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744" w:hanging="1035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11">
    <w:multiLevelType w:val="hybridMultilevel"/>
    <w:lvl w:ilvl="0">
      <w:start w:val="2"/>
      <w:numFmt w:val="decimal"/>
      <w:isLgl w:val="false"/>
      <w:suff w:val="tab"/>
      <w:lvlText w:val="3.%1."/>
      <w:legacy w:legacy="1" w:legacyIndent="864" w:legacySpace="0"/>
      <w:lvlJc w:val="left"/>
      <w:pPr/>
      <w:rPr>
        <w:rFonts w:hint="default"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2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3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num w:numId="1">
    <w:abstractNumId w:val="14"/>
  </w:num>
  <w:num w:numId="2">
    <w:abstractNumId w:val="1"/>
  </w:num>
  <w:num w:numId="3">
    <w:abstractNumId w:val="11"/>
  </w:num>
  <w:num w:numId="4">
    <w:abstractNumId w:val="8"/>
  </w:num>
  <w:num w:numId="5">
    <w:abstractNumId w:val="0"/>
  </w:num>
  <w:num w:numId="6">
    <w:abstractNumId w:val="10"/>
  </w:num>
  <w:num w:numId="7">
    <w:abstractNumId w:val="4"/>
  </w:num>
  <w:num w:numId="8">
    <w:abstractNumId w:val="6"/>
  </w:num>
  <w:num w:numId="9">
    <w:abstractNumId w:val="12"/>
  </w:num>
  <w:num w:numId="10">
    <w:abstractNumId w:val="13"/>
  </w:num>
  <w:num w:numId="11">
    <w:abstractNumId w:val="5"/>
  </w:num>
  <w:num w:numId="12">
    <w:abstractNumId w:val="2"/>
  </w:num>
  <w:num w:numId="13">
    <w:abstractNumId w:val="3"/>
  </w:num>
  <w:num w:numId="14">
    <w:abstractNumId w:val="7"/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useFELayout w:val="true"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tru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EastAsia" w:cstheme="minorBidi"/>
        <w:sz w:val="22"/>
        <w:szCs w:val="22"/>
        <w:lang w:val="ru-RU" w:eastAsia="ru-RU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35">
    <w:name w:val="Title Char"/>
    <w:basedOn w:val="710"/>
    <w:link w:val="732"/>
    <w:uiPriority w:val="10"/>
    <w:rPr>
      <w:sz w:val="48"/>
      <w:szCs w:val="48"/>
    </w:rPr>
  </w:style>
  <w:style w:type="character" w:styleId="37">
    <w:name w:val="Subtitle Char"/>
    <w:basedOn w:val="710"/>
    <w:link w:val="734"/>
    <w:uiPriority w:val="11"/>
    <w:rPr>
      <w:sz w:val="24"/>
      <w:szCs w:val="24"/>
    </w:rPr>
  </w:style>
  <w:style w:type="character" w:styleId="39">
    <w:name w:val="Quote Char"/>
    <w:link w:val="736"/>
    <w:uiPriority w:val="29"/>
    <w:rPr>
      <w:i/>
    </w:rPr>
  </w:style>
  <w:style w:type="character" w:styleId="41">
    <w:name w:val="Intense Quote Char"/>
    <w:link w:val="738"/>
    <w:uiPriority w:val="30"/>
    <w:rPr>
      <w:i/>
    </w:rPr>
  </w:style>
  <w:style w:type="character" w:styleId="176">
    <w:name w:val="Footnote Text Char"/>
    <w:link w:val="869"/>
    <w:uiPriority w:val="99"/>
    <w:rPr>
      <w:sz w:val="18"/>
    </w:rPr>
  </w:style>
  <w:style w:type="character" w:styleId="179">
    <w:name w:val="Endnote Text Char"/>
    <w:link w:val="872"/>
    <w:uiPriority w:val="99"/>
    <w:rPr>
      <w:sz w:val="20"/>
    </w:rPr>
  </w:style>
  <w:style w:type="paragraph" w:styleId="709" w:default="1">
    <w:name w:val="Normal"/>
    <w:qFormat/>
  </w:style>
  <w:style w:type="character" w:styleId="710" w:default="1">
    <w:name w:val="Default Paragraph Font"/>
    <w:uiPriority w:val="1"/>
    <w:semiHidden/>
    <w:unhideWhenUsed/>
  </w:style>
  <w:style w:type="table" w:styleId="711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12" w:default="1">
    <w:name w:val="No List"/>
    <w:uiPriority w:val="99"/>
    <w:semiHidden/>
    <w:unhideWhenUsed/>
  </w:style>
  <w:style w:type="paragraph" w:styleId="713" w:customStyle="1">
    <w:name w:val="Heading 1"/>
    <w:basedOn w:val="709"/>
    <w:next w:val="709"/>
    <w:link w:val="714"/>
    <w:uiPriority w:val="9"/>
    <w:qFormat/>
    <w:pPr>
      <w:keepLines/>
      <w:keepNext/>
      <w:spacing w:before="480"/>
      <w:outlineLvl w:val="0"/>
    </w:pPr>
    <w:rPr>
      <w:rFonts w:ascii="Arial" w:hAnsi="Arial" w:eastAsia="Arial" w:cs="Arial"/>
      <w:sz w:val="40"/>
      <w:szCs w:val="40"/>
    </w:rPr>
  </w:style>
  <w:style w:type="character" w:styleId="714" w:customStyle="1">
    <w:name w:val="Heading 1 Char"/>
    <w:basedOn w:val="710"/>
    <w:link w:val="713"/>
    <w:uiPriority w:val="9"/>
    <w:rPr>
      <w:rFonts w:ascii="Arial" w:hAnsi="Arial" w:eastAsia="Arial" w:cs="Arial"/>
      <w:sz w:val="40"/>
      <w:szCs w:val="40"/>
    </w:rPr>
  </w:style>
  <w:style w:type="paragraph" w:styleId="715" w:customStyle="1">
    <w:name w:val="Heading 2"/>
    <w:basedOn w:val="709"/>
    <w:next w:val="709"/>
    <w:link w:val="716"/>
    <w:uiPriority w:val="9"/>
    <w:unhideWhenUsed/>
    <w:qFormat/>
    <w:pPr>
      <w:keepLines/>
      <w:keepNext/>
      <w:spacing w:before="360"/>
      <w:outlineLvl w:val="1"/>
    </w:pPr>
    <w:rPr>
      <w:rFonts w:ascii="Arial" w:hAnsi="Arial" w:eastAsia="Arial" w:cs="Arial"/>
      <w:sz w:val="34"/>
    </w:rPr>
  </w:style>
  <w:style w:type="character" w:styleId="716" w:customStyle="1">
    <w:name w:val="Heading 2 Char"/>
    <w:basedOn w:val="710"/>
    <w:link w:val="715"/>
    <w:uiPriority w:val="9"/>
    <w:rPr>
      <w:rFonts w:ascii="Arial" w:hAnsi="Arial" w:eastAsia="Arial" w:cs="Arial"/>
      <w:sz w:val="34"/>
    </w:rPr>
  </w:style>
  <w:style w:type="paragraph" w:styleId="717" w:customStyle="1">
    <w:name w:val="Heading 3"/>
    <w:basedOn w:val="709"/>
    <w:next w:val="709"/>
    <w:link w:val="718"/>
    <w:uiPriority w:val="9"/>
    <w:unhideWhenUsed/>
    <w:qFormat/>
    <w:pPr>
      <w:keepLines/>
      <w:keepNext/>
      <w:spacing w:before="320"/>
      <w:outlineLvl w:val="2"/>
    </w:pPr>
    <w:rPr>
      <w:rFonts w:ascii="Arial" w:hAnsi="Arial" w:eastAsia="Arial" w:cs="Arial"/>
      <w:sz w:val="30"/>
      <w:szCs w:val="30"/>
    </w:rPr>
  </w:style>
  <w:style w:type="character" w:styleId="718" w:customStyle="1">
    <w:name w:val="Heading 3 Char"/>
    <w:basedOn w:val="710"/>
    <w:link w:val="717"/>
    <w:uiPriority w:val="9"/>
    <w:rPr>
      <w:rFonts w:ascii="Arial" w:hAnsi="Arial" w:eastAsia="Arial" w:cs="Arial"/>
      <w:sz w:val="30"/>
      <w:szCs w:val="30"/>
    </w:rPr>
  </w:style>
  <w:style w:type="paragraph" w:styleId="719" w:customStyle="1">
    <w:name w:val="Heading 4"/>
    <w:basedOn w:val="709"/>
    <w:next w:val="709"/>
    <w:link w:val="720"/>
    <w:uiPriority w:val="9"/>
    <w:unhideWhenUsed/>
    <w:qFormat/>
    <w:pPr>
      <w:keepLines/>
      <w:keepNext/>
      <w:spacing w:before="32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20" w:customStyle="1">
    <w:name w:val="Heading 4 Char"/>
    <w:basedOn w:val="710"/>
    <w:link w:val="719"/>
    <w:uiPriority w:val="9"/>
    <w:rPr>
      <w:rFonts w:ascii="Arial" w:hAnsi="Arial" w:eastAsia="Arial" w:cs="Arial"/>
      <w:b/>
      <w:bCs/>
      <w:sz w:val="26"/>
      <w:szCs w:val="26"/>
    </w:rPr>
  </w:style>
  <w:style w:type="paragraph" w:styleId="721" w:customStyle="1">
    <w:name w:val="Heading 5"/>
    <w:basedOn w:val="709"/>
    <w:next w:val="709"/>
    <w:link w:val="722"/>
    <w:uiPriority w:val="9"/>
    <w:unhideWhenUsed/>
    <w:qFormat/>
    <w:pPr>
      <w:keepLines/>
      <w:keepNext/>
      <w:spacing w:before="32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22" w:customStyle="1">
    <w:name w:val="Heading 5 Char"/>
    <w:basedOn w:val="710"/>
    <w:link w:val="721"/>
    <w:uiPriority w:val="9"/>
    <w:rPr>
      <w:rFonts w:ascii="Arial" w:hAnsi="Arial" w:eastAsia="Arial" w:cs="Arial"/>
      <w:b/>
      <w:bCs/>
      <w:sz w:val="24"/>
      <w:szCs w:val="24"/>
    </w:rPr>
  </w:style>
  <w:style w:type="paragraph" w:styleId="723" w:customStyle="1">
    <w:name w:val="Heading 6"/>
    <w:basedOn w:val="709"/>
    <w:next w:val="709"/>
    <w:link w:val="724"/>
    <w:uiPriority w:val="9"/>
    <w:unhideWhenUsed/>
    <w:qFormat/>
    <w:pPr>
      <w:keepLines/>
      <w:keepNext/>
      <w:spacing w:before="320"/>
      <w:outlineLvl w:val="5"/>
    </w:pPr>
    <w:rPr>
      <w:rFonts w:ascii="Arial" w:hAnsi="Arial" w:eastAsia="Arial" w:cs="Arial"/>
      <w:b/>
      <w:bCs/>
    </w:rPr>
  </w:style>
  <w:style w:type="character" w:styleId="724" w:customStyle="1">
    <w:name w:val="Heading 6 Char"/>
    <w:basedOn w:val="710"/>
    <w:link w:val="723"/>
    <w:uiPriority w:val="9"/>
    <w:rPr>
      <w:rFonts w:ascii="Arial" w:hAnsi="Arial" w:eastAsia="Arial" w:cs="Arial"/>
      <w:b/>
      <w:bCs/>
      <w:sz w:val="22"/>
      <w:szCs w:val="22"/>
    </w:rPr>
  </w:style>
  <w:style w:type="paragraph" w:styleId="725" w:customStyle="1">
    <w:name w:val="Heading 7"/>
    <w:basedOn w:val="709"/>
    <w:next w:val="709"/>
    <w:link w:val="726"/>
    <w:uiPriority w:val="9"/>
    <w:unhideWhenUsed/>
    <w:qFormat/>
    <w:pPr>
      <w:keepLines/>
      <w:keepNext/>
      <w:spacing w:before="320"/>
      <w:outlineLvl w:val="6"/>
    </w:pPr>
    <w:rPr>
      <w:rFonts w:ascii="Arial" w:hAnsi="Arial" w:eastAsia="Arial" w:cs="Arial"/>
      <w:b/>
      <w:bCs/>
      <w:i/>
      <w:iCs/>
    </w:rPr>
  </w:style>
  <w:style w:type="character" w:styleId="726" w:customStyle="1">
    <w:name w:val="Heading 7 Char"/>
    <w:basedOn w:val="710"/>
    <w:link w:val="7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27" w:customStyle="1">
    <w:name w:val="Heading 8"/>
    <w:basedOn w:val="709"/>
    <w:next w:val="709"/>
    <w:link w:val="728"/>
    <w:uiPriority w:val="9"/>
    <w:unhideWhenUsed/>
    <w:qFormat/>
    <w:pPr>
      <w:keepLines/>
      <w:keepNext/>
      <w:spacing w:before="320"/>
      <w:outlineLvl w:val="7"/>
    </w:pPr>
    <w:rPr>
      <w:rFonts w:ascii="Arial" w:hAnsi="Arial" w:eastAsia="Arial" w:cs="Arial"/>
      <w:i/>
      <w:iCs/>
    </w:rPr>
  </w:style>
  <w:style w:type="character" w:styleId="728" w:customStyle="1">
    <w:name w:val="Heading 8 Char"/>
    <w:basedOn w:val="710"/>
    <w:link w:val="727"/>
    <w:uiPriority w:val="9"/>
    <w:rPr>
      <w:rFonts w:ascii="Arial" w:hAnsi="Arial" w:eastAsia="Arial" w:cs="Arial"/>
      <w:i/>
      <w:iCs/>
      <w:sz w:val="22"/>
      <w:szCs w:val="22"/>
    </w:rPr>
  </w:style>
  <w:style w:type="paragraph" w:styleId="729" w:customStyle="1">
    <w:name w:val="Heading 9"/>
    <w:basedOn w:val="709"/>
    <w:next w:val="709"/>
    <w:link w:val="730"/>
    <w:uiPriority w:val="9"/>
    <w:unhideWhenUsed/>
    <w:qFormat/>
    <w:pPr>
      <w:keepLines/>
      <w:keepNext/>
      <w:spacing w:before="32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30" w:customStyle="1">
    <w:name w:val="Heading 9 Char"/>
    <w:basedOn w:val="710"/>
    <w:link w:val="729"/>
    <w:uiPriority w:val="9"/>
    <w:rPr>
      <w:rFonts w:ascii="Arial" w:hAnsi="Arial" w:eastAsia="Arial" w:cs="Arial"/>
      <w:i/>
      <w:iCs/>
      <w:sz w:val="21"/>
      <w:szCs w:val="21"/>
    </w:rPr>
  </w:style>
  <w:style w:type="paragraph" w:styleId="731">
    <w:name w:val="No Spacing"/>
    <w:uiPriority w:val="1"/>
    <w:qFormat/>
    <w:pPr>
      <w:spacing w:after="0" w:line="240" w:lineRule="auto"/>
    </w:pPr>
  </w:style>
  <w:style w:type="paragraph" w:styleId="732">
    <w:name w:val="Title"/>
    <w:basedOn w:val="709"/>
    <w:next w:val="709"/>
    <w:link w:val="733"/>
    <w:uiPriority w:val="10"/>
    <w:qFormat/>
    <w:pPr>
      <w:contextualSpacing/>
      <w:spacing w:before="300"/>
    </w:pPr>
    <w:rPr>
      <w:sz w:val="48"/>
      <w:szCs w:val="48"/>
    </w:rPr>
  </w:style>
  <w:style w:type="character" w:styleId="733" w:customStyle="1">
    <w:name w:val="Название Знак"/>
    <w:basedOn w:val="710"/>
    <w:link w:val="732"/>
    <w:uiPriority w:val="10"/>
    <w:rPr>
      <w:sz w:val="48"/>
      <w:szCs w:val="48"/>
    </w:rPr>
  </w:style>
  <w:style w:type="paragraph" w:styleId="734">
    <w:name w:val="Subtitle"/>
    <w:basedOn w:val="709"/>
    <w:next w:val="709"/>
    <w:link w:val="735"/>
    <w:uiPriority w:val="11"/>
    <w:qFormat/>
    <w:pPr>
      <w:spacing w:before="200"/>
    </w:pPr>
    <w:rPr>
      <w:sz w:val="24"/>
      <w:szCs w:val="24"/>
    </w:rPr>
  </w:style>
  <w:style w:type="character" w:styleId="735" w:customStyle="1">
    <w:name w:val="Подзаголовок Знак"/>
    <w:basedOn w:val="710"/>
    <w:link w:val="734"/>
    <w:uiPriority w:val="11"/>
    <w:rPr>
      <w:sz w:val="24"/>
      <w:szCs w:val="24"/>
    </w:rPr>
  </w:style>
  <w:style w:type="paragraph" w:styleId="736">
    <w:name w:val="Quote"/>
    <w:basedOn w:val="709"/>
    <w:next w:val="709"/>
    <w:link w:val="737"/>
    <w:uiPriority w:val="29"/>
    <w:qFormat/>
    <w:pPr>
      <w:ind w:left="720" w:right="720"/>
    </w:pPr>
    <w:rPr>
      <w:i/>
    </w:rPr>
  </w:style>
  <w:style w:type="character" w:styleId="737" w:customStyle="1">
    <w:name w:val="Цитата 2 Знак"/>
    <w:link w:val="736"/>
    <w:uiPriority w:val="29"/>
    <w:rPr>
      <w:i/>
    </w:rPr>
  </w:style>
  <w:style w:type="paragraph" w:styleId="738">
    <w:name w:val="Intense Quote"/>
    <w:basedOn w:val="709"/>
    <w:next w:val="709"/>
    <w:link w:val="739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39" w:customStyle="1">
    <w:name w:val="Выделенная цитата Знак"/>
    <w:link w:val="738"/>
    <w:uiPriority w:val="30"/>
    <w:rPr>
      <w:i/>
    </w:rPr>
  </w:style>
  <w:style w:type="character" w:styleId="740" w:customStyle="1">
    <w:name w:val="Header Char"/>
    <w:basedOn w:val="710"/>
    <w:link w:val="891"/>
    <w:uiPriority w:val="99"/>
  </w:style>
  <w:style w:type="character" w:styleId="741" w:customStyle="1">
    <w:name w:val="Footer Char"/>
    <w:basedOn w:val="710"/>
    <w:link w:val="893"/>
    <w:uiPriority w:val="99"/>
  </w:style>
  <w:style w:type="paragraph" w:styleId="742" w:customStyle="1">
    <w:name w:val="Caption"/>
    <w:basedOn w:val="709"/>
    <w:next w:val="709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styleId="743" w:customStyle="1">
    <w:name w:val="Caption Char"/>
    <w:link w:val="893"/>
    <w:uiPriority w:val="99"/>
  </w:style>
  <w:style w:type="table" w:styleId="744" w:customStyle="1">
    <w:name w:val="Table Grid Light"/>
    <w:basedOn w:val="711"/>
    <w:uiPriority w:val="59"/>
    <w:pPr>
      <w:spacing w:after="0" w:line="240" w:lineRule="auto"/>
    </w:pPr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5" w:customStyle="1">
    <w:name w:val="Plain Table 1"/>
    <w:basedOn w:val="711"/>
    <w:uiPriority w:val="59"/>
    <w:pPr>
      <w:spacing w:after="0" w:line="240" w:lineRule="auto"/>
    </w:pPr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2f2f2" w:themeColor="text1" w:themeTint="00" w:fill="f2f2f2" w:themeFill="text1" w:themeFillTint="00"/>
      </w:tcPr>
    </w:tblStylePr>
    <w:tblStylePr w:type="band1Vert">
      <w:tcPr>
        <w:shd w:val="clear" w:color="f2f2f2" w:themeColor="text1" w:themeTint="00" w:fill="f2f2f2" w:themeFill="text1" w:themeFillTint="0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6" w:customStyle="1">
    <w:name w:val="Plain Table 2"/>
    <w:basedOn w:val="711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7" w:customStyle="1">
    <w:name w:val="Plain Table 3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48" w:customStyle="1">
    <w:name w:val="Plain Table 4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 w:customStyle="1">
    <w:name w:val="Plain Table 5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50" w:customStyle="1">
    <w:name w:val="Grid Table 1 Light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 w:customStyle="1">
    <w:name w:val="Grid Table 1 Light - Accent 1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 w:customStyle="1">
    <w:name w:val="Grid Table 1 Light - Accent 2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3" w:customStyle="1">
    <w:name w:val="Grid Table 1 Light - Accent 3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 w:customStyle="1">
    <w:name w:val="Grid Table 1 Light - Accent 4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5" w:customStyle="1">
    <w:name w:val="Grid Table 1 Light - Accent 5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6" w:customStyle="1">
    <w:name w:val="Grid Table 1 Light - Accent 6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7" w:customStyle="1">
    <w:name w:val="Grid Table 2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 w:customStyle="1">
    <w:name w:val="Grid Table 2 - Accent 1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 w:customStyle="1">
    <w:name w:val="Grid Table 2 - Accent 2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 w:customStyle="1">
    <w:name w:val="Grid Table 2 - Accent 3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 w:customStyle="1">
    <w:name w:val="Grid Table 2 - Accent 4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 w:customStyle="1">
    <w:name w:val="Grid Table 2 - Accent 5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 w:customStyle="1">
    <w:name w:val="Grid Table 2 - Accent 6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 w:customStyle="1">
    <w:name w:val="Grid Table 3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 w:customStyle="1">
    <w:name w:val="Grid Table 3 - Accent 1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 w:customStyle="1">
    <w:name w:val="Grid Table 3 - Accent 2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 w:customStyle="1">
    <w:name w:val="Grid Table 3 - Accent 3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 w:customStyle="1">
    <w:name w:val="Grid Table 3 - Accent 4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 w:customStyle="1">
    <w:name w:val="Grid Table 3 - Accent 5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 w:customStyle="1">
    <w:name w:val="Grid Table 3 - Accent 6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 w:customStyle="1">
    <w:name w:val="Grid Table 4"/>
    <w:basedOn w:val="71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2" w:customStyle="1">
    <w:name w:val="Grid Table 4 - Accent 1"/>
    <w:basedOn w:val="71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themeColor="accent1" w:themeTint="EA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773" w:customStyle="1">
    <w:name w:val="Grid Table 4 - Accent 2"/>
    <w:basedOn w:val="71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774" w:customStyle="1">
    <w:name w:val="Grid Table 4 - Accent 3"/>
    <w:basedOn w:val="71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themeColor="accent3" w:themeTint="FE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775" w:customStyle="1">
    <w:name w:val="Grid Table 4 - Accent 4"/>
    <w:basedOn w:val="71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776" w:customStyle="1">
    <w:name w:val="Grid Table 4 - Accent 5"/>
    <w:basedOn w:val="71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777" w:customStyle="1">
    <w:name w:val="Grid Table 4 - Accent 6"/>
    <w:basedOn w:val="71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778" w:customStyle="1">
    <w:name w:val="Grid Table 5 Dark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79" w:customStyle="1">
    <w:name w:val="Grid Table 5 Dark- Accent 1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ec4e0" w:themeColor="accent1" w:themeTint="75" w:fill="aec4e0" w:themeFill="accent1" w:themeFillTint="75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  <w:tcBorders>
          <w:top w:val="single" w:color="FFFFFF" w:themeColor="light1" w:sz="4" w:space="0"/>
        </w:tcBorders>
      </w:tcPr>
    </w:tblStylePr>
  </w:style>
  <w:style w:type="table" w:styleId="780" w:customStyle="1">
    <w:name w:val="Grid Table 5 Dark - Accent 2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e2aead" w:themeColor="accent2" w:themeTint="75" w:fill="e2aead" w:themeFill="accent2" w:themeFillTint="75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  <w:tcBorders>
          <w:top w:val="single" w:color="FFFFFF" w:themeColor="light1" w:sz="4" w:space="0"/>
        </w:tcBorders>
      </w:tcPr>
    </w:tblStylePr>
  </w:style>
  <w:style w:type="table" w:styleId="781" w:customStyle="1">
    <w:name w:val="Grid Table 5 Dark - Accent 3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0dfb2" w:themeColor="accent3" w:themeTint="75" w:fill="d0dfb2" w:themeFill="accent3" w:themeFillTint="75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  <w:tcBorders>
          <w:top w:val="single" w:color="FFFFFF" w:themeColor="light1" w:sz="4" w:space="0"/>
        </w:tcBorders>
      </w:tcPr>
    </w:tblStylePr>
  </w:style>
  <w:style w:type="table" w:styleId="782" w:customStyle="1">
    <w:name w:val="Grid Table 5 Dark- Accent 4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c4b7d4" w:themeColor="accent4" w:themeTint="75" w:fill="c4b7d4" w:themeFill="accent4" w:themeFillTint="75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  <w:tcBorders>
          <w:top w:val="single" w:color="FFFFFF" w:themeColor="light1" w:sz="4" w:space="0"/>
        </w:tcBorders>
      </w:tcPr>
    </w:tblStylePr>
  </w:style>
  <w:style w:type="table" w:styleId="783" w:customStyle="1">
    <w:name w:val="Grid Table 5 Dark - Accent 5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cd8e4" w:themeColor="accent5" w:themeTint="75" w:fill="acd8e4" w:themeFill="accent5" w:themeFillTint="7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FFFFFF" w:themeColor="light1" w:sz="4" w:space="0"/>
        </w:tcBorders>
      </w:tcPr>
    </w:tblStylePr>
  </w:style>
  <w:style w:type="table" w:styleId="784" w:customStyle="1">
    <w:name w:val="Grid Table 5 Dark - Accent 6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bceaa" w:themeColor="accent6" w:themeTint="75" w:fill="fbceaa" w:themeFill="accent6" w:themeFillTint="75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FFFFF" w:themeColor="light1" w:sz="4" w:space="0"/>
        </w:tcBorders>
      </w:tcPr>
    </w:tblStylePr>
  </w:style>
  <w:style w:type="table" w:styleId="785" w:customStyle="1">
    <w:name w:val="Grid Table 6 Colorful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86" w:customStyle="1">
    <w:name w:val="Grid Table 6 Colorful - Accent 1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787" w:customStyle="1">
    <w:name w:val="Grid Table 6 Colorful - Accent 2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788" w:customStyle="1">
    <w:name w:val="Grid Table 6 Colorful - Accent 3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789" w:customStyle="1">
    <w:name w:val="Grid Table 6 Colorful - Accent 4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790" w:customStyle="1">
    <w:name w:val="Grid Table 6 Colorful - Accent 5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91" w:customStyle="1">
    <w:name w:val="Grid Table 6 Colorful - Accent 6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92" w:customStyle="1">
    <w:name w:val="Grid Table 7 Colorful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0" w:fill="f2f2f2" w:themeFill="text1" w:themeFillTint="00"/>
      </w:tcPr>
    </w:tblStylePr>
    <w:tblStylePr w:type="band1Vert">
      <w:tcPr>
        <w:shd w:val="clear" w:color="f2f2f2" w:themeColor="text1" w:themeTint="00" w:fill="f2f2f2" w:themeFill="text1" w:themeFillTint="0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3" w:customStyle="1">
    <w:name w:val="Grid Table 7 Colorful - Accent 1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6BFDD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6BFDD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6BFDD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4" w:customStyle="1">
    <w:name w:val="Grid Table 7 Colorful - Accent 2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5" w:customStyle="1">
    <w:name w:val="Grid Table 7 Colorful - Accent 3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ABB59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9ABB59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6" w:customStyle="1">
    <w:name w:val="Grid Table 7 Colorful - Accent 4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7" w:customStyle="1">
    <w:name w:val="Grid Table 7 Colorful - Accent 5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9D0DE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single" w:color="99D0DE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8" w:customStyle="1">
    <w:name w:val="Grid Table 7 Colorful - Accent 6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FAC396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single" w:color="FAC396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9" w:customStyle="1">
    <w:name w:val="List Table 1 Light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0" w:customStyle="1">
    <w:name w:val="List Table 1 Light - Accent 1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1" w:customStyle="1">
    <w:name w:val="List Table 1 Light - Accent 2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2" w:customStyle="1">
    <w:name w:val="List Table 1 Light - Accent 3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3" w:customStyle="1">
    <w:name w:val="List Table 1 Light - Accent 4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4" w:customStyle="1">
    <w:name w:val="List Table 1 Light - Accent 5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5" w:customStyle="1">
    <w:name w:val="List Table 1 Light - Accent 6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6" w:customStyle="1">
    <w:name w:val="List Table 2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807" w:customStyle="1">
    <w:name w:val="List Table 2 - Accent 1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808" w:customStyle="1">
    <w:name w:val="List Table 2 - Accent 2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809" w:customStyle="1">
    <w:name w:val="List Table 2 - Accent 3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810" w:customStyle="1">
    <w:name w:val="List Table 2 - Accent 4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811" w:customStyle="1">
    <w:name w:val="List Table 2 - Accent 5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812" w:customStyle="1">
    <w:name w:val="List Table 2 - Accent 6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813" w:customStyle="1">
    <w:name w:val="List Table 3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 w:customStyle="1">
    <w:name w:val="List Table 3 - Accent 1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 w:customStyle="1">
    <w:name w:val="List Table 3 - Accent 2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 w:customStyle="1">
    <w:name w:val="List Table 3 - Accent 3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 w:customStyle="1">
    <w:name w:val="List Table 3 - Accent 4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 w:customStyle="1">
    <w:name w:val="List Table 3 - Accent 5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 w:customStyle="1">
    <w:name w:val="List Table 3 - Accent 6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 w:customStyle="1">
    <w:name w:val="List Table 4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 w:customStyle="1">
    <w:name w:val="List Table 4 - Accent 1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 w:customStyle="1">
    <w:name w:val="List Table 4 - Accent 2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3" w:customStyle="1">
    <w:name w:val="List Table 4 - Accent 3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4" w:customStyle="1">
    <w:name w:val="List Table 4 - Accent 4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5" w:customStyle="1">
    <w:name w:val="List Table 4 - Accent 5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6" w:customStyle="1">
    <w:name w:val="List Table 4 - Accent 6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7" w:customStyle="1">
    <w:name w:val="List Table 5 Dark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8" w:customStyle="1">
    <w:name w:val="List Table 5 Dark - Accent 1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themeColor="accent1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themeColor="accent1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9" w:customStyle="1">
    <w:name w:val="List Table 5 Dark - Accent 2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themeColor="accent2" w:themeTint="97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30" w:customStyle="1">
    <w:name w:val="List Table 5 Dark - Accent 3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themeColor="accent3" w:themeTint="98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themeColor="accent3" w:themeTint="98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31" w:customStyle="1">
    <w:name w:val="List Table 5 Dark - Accent 4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themeColor="accent4" w:themeTint="9A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32" w:customStyle="1">
    <w:name w:val="List Table 5 Dark - Accent 5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themeColor="accent5" w:themeTint="9A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themeColor="accent5" w:themeTint="9A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33" w:customStyle="1">
    <w:name w:val="List Table 5 Dark - Accent 6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themeColor="accent6" w:themeTint="98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themeColor="accent6" w:themeTint="98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34" w:customStyle="1">
    <w:name w:val="List Table 6 Colorful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7F7F7F" w:themeColor="text1" w:themeTint="80" w:sz="4" w:space="0"/>
        <w:bottom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35" w:customStyle="1">
    <w:name w:val="List Table 6 Colorful - Accent 1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4F81BD" w:themeColor="accent1" w:sz="4" w:space="0"/>
        <w:bottom w:val="single" w:color="4F81BD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836" w:customStyle="1">
    <w:name w:val="List Table 6 Colorful - Accent 2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99695" w:themeColor="accent2" w:themeTint="97" w:sz="4" w:space="0"/>
        <w:bottom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837" w:customStyle="1">
    <w:name w:val="List Table 6 Colorful - Accent 3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3D69B" w:themeColor="accent3" w:themeTint="98" w:sz="4" w:space="0"/>
        <w:bottom w:val="single" w:color="C3D69B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838" w:customStyle="1">
    <w:name w:val="List Table 6 Colorful - Accent 4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2A1C6" w:themeColor="accent4" w:themeTint="9A" w:sz="4" w:space="0"/>
        <w:bottom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839" w:customStyle="1">
    <w:name w:val="List Table 6 Colorful - Accent 5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2CCDC" w:themeColor="accent5" w:themeTint="9A" w:sz="4" w:space="0"/>
        <w:bottom w:val="single" w:color="92CCDC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840" w:customStyle="1">
    <w:name w:val="List Table 6 Colorful - Accent 6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AC090" w:themeColor="accent6" w:themeTint="98" w:sz="4" w:space="0"/>
        <w:bottom w:val="single" w:color="FAC090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841" w:customStyle="1">
    <w:name w:val="List Table 7 Colorful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2" w:customStyle="1">
    <w:name w:val="List Table 7 Colorful - Accent 1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4F81BD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3" w:customStyle="1">
    <w:name w:val="List Table 7 Colorful - Accent 2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4" w:customStyle="1">
    <w:name w:val="List Table 7 Colorful - Accent 3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C3D69B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3D69B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3D69B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3D69B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5" w:customStyle="1">
    <w:name w:val="List Table 7 Colorful - Accent 4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6" w:customStyle="1">
    <w:name w:val="List Table 7 Colorful - Accent 5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92CCDC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2CCDC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92CCDC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2CCDC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7" w:customStyle="1">
    <w:name w:val="List Table 7 Colorful - Accent 6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FAC090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09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FAC09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FAC09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8" w:customStyle="1">
    <w:name w:val="Lined - Accent"/>
    <w:basedOn w:val="71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49" w:customStyle="1">
    <w:name w:val="Lined - Accent 1"/>
    <w:basedOn w:val="71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50" w:customStyle="1">
    <w:name w:val="Lined - Accent 2"/>
    <w:basedOn w:val="71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51" w:customStyle="1">
    <w:name w:val="Lined - Accent 3"/>
    <w:basedOn w:val="71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52" w:customStyle="1">
    <w:name w:val="Lined - Accent 4"/>
    <w:basedOn w:val="71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53" w:customStyle="1">
    <w:name w:val="Lined - Accent 5"/>
    <w:basedOn w:val="71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54" w:customStyle="1">
    <w:name w:val="Lined - Accent 6"/>
    <w:basedOn w:val="71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55" w:customStyle="1">
    <w:name w:val="Bordered &amp; Lined - Accent"/>
    <w:basedOn w:val="71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56" w:customStyle="1">
    <w:name w:val="Bordered &amp; Lined - Accent 1"/>
    <w:basedOn w:val="71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57" w:customStyle="1">
    <w:name w:val="Bordered &amp; Lined - Accent 2"/>
    <w:basedOn w:val="71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58" w:customStyle="1">
    <w:name w:val="Bordered &amp; Lined - Accent 3"/>
    <w:basedOn w:val="71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59" w:customStyle="1">
    <w:name w:val="Bordered &amp; Lined - Accent 4"/>
    <w:basedOn w:val="71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60" w:customStyle="1">
    <w:name w:val="Bordered &amp; Lined - Accent 5"/>
    <w:basedOn w:val="71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61" w:customStyle="1">
    <w:name w:val="Bordered &amp; Lined - Accent 6"/>
    <w:basedOn w:val="71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62" w:customStyle="1">
    <w:name w:val="Bordered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63" w:customStyle="1">
    <w:name w:val="Bordered - Accent 1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864" w:customStyle="1">
    <w:name w:val="Bordered - Accent 2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865" w:customStyle="1">
    <w:name w:val="Bordered - Accent 3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866" w:customStyle="1">
    <w:name w:val="Bordered - Accent 4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867" w:customStyle="1">
    <w:name w:val="Bordered - Accent 5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868" w:customStyle="1">
    <w:name w:val="Bordered - Accent 6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paragraph" w:styleId="869">
    <w:name w:val="footnote text"/>
    <w:basedOn w:val="709"/>
    <w:link w:val="870"/>
    <w:uiPriority w:val="99"/>
    <w:semiHidden/>
    <w:unhideWhenUsed/>
    <w:pPr>
      <w:spacing w:after="40" w:line="240" w:lineRule="auto"/>
    </w:pPr>
    <w:rPr>
      <w:sz w:val="18"/>
    </w:rPr>
  </w:style>
  <w:style w:type="character" w:styleId="870" w:customStyle="1">
    <w:name w:val="Текст сноски Знак"/>
    <w:link w:val="869"/>
    <w:uiPriority w:val="99"/>
    <w:rPr>
      <w:sz w:val="18"/>
    </w:rPr>
  </w:style>
  <w:style w:type="character" w:styleId="871">
    <w:name w:val="footnote reference"/>
    <w:basedOn w:val="710"/>
    <w:uiPriority w:val="99"/>
    <w:unhideWhenUsed/>
    <w:rPr>
      <w:vertAlign w:val="superscript"/>
    </w:rPr>
  </w:style>
  <w:style w:type="paragraph" w:styleId="872">
    <w:name w:val="endnote text"/>
    <w:basedOn w:val="709"/>
    <w:link w:val="873"/>
    <w:uiPriority w:val="99"/>
    <w:semiHidden/>
    <w:unhideWhenUsed/>
    <w:pPr>
      <w:spacing w:after="0" w:line="240" w:lineRule="auto"/>
    </w:pPr>
    <w:rPr>
      <w:sz w:val="20"/>
    </w:rPr>
  </w:style>
  <w:style w:type="character" w:styleId="873" w:customStyle="1">
    <w:name w:val="Текст концевой сноски Знак"/>
    <w:link w:val="872"/>
    <w:uiPriority w:val="99"/>
    <w:rPr>
      <w:sz w:val="20"/>
    </w:rPr>
  </w:style>
  <w:style w:type="character" w:styleId="874">
    <w:name w:val="endnote reference"/>
    <w:basedOn w:val="710"/>
    <w:uiPriority w:val="99"/>
    <w:semiHidden/>
    <w:unhideWhenUsed/>
    <w:rPr>
      <w:vertAlign w:val="superscript"/>
    </w:rPr>
  </w:style>
  <w:style w:type="paragraph" w:styleId="875">
    <w:name w:val="toc 1"/>
    <w:basedOn w:val="709"/>
    <w:next w:val="709"/>
    <w:uiPriority w:val="39"/>
    <w:unhideWhenUsed/>
    <w:pPr>
      <w:spacing w:after="57"/>
    </w:pPr>
  </w:style>
  <w:style w:type="paragraph" w:styleId="876">
    <w:name w:val="toc 2"/>
    <w:basedOn w:val="709"/>
    <w:next w:val="709"/>
    <w:uiPriority w:val="39"/>
    <w:unhideWhenUsed/>
    <w:pPr>
      <w:ind w:left="283"/>
      <w:spacing w:after="57"/>
    </w:pPr>
  </w:style>
  <w:style w:type="paragraph" w:styleId="877">
    <w:name w:val="toc 3"/>
    <w:basedOn w:val="709"/>
    <w:next w:val="709"/>
    <w:uiPriority w:val="39"/>
    <w:unhideWhenUsed/>
    <w:pPr>
      <w:ind w:left="567"/>
      <w:spacing w:after="57"/>
    </w:pPr>
  </w:style>
  <w:style w:type="paragraph" w:styleId="878">
    <w:name w:val="toc 4"/>
    <w:basedOn w:val="709"/>
    <w:next w:val="709"/>
    <w:uiPriority w:val="39"/>
    <w:unhideWhenUsed/>
    <w:pPr>
      <w:ind w:left="850"/>
      <w:spacing w:after="57"/>
    </w:pPr>
  </w:style>
  <w:style w:type="paragraph" w:styleId="879">
    <w:name w:val="toc 5"/>
    <w:basedOn w:val="709"/>
    <w:next w:val="709"/>
    <w:uiPriority w:val="39"/>
    <w:unhideWhenUsed/>
    <w:pPr>
      <w:ind w:left="1134"/>
      <w:spacing w:after="57"/>
    </w:pPr>
  </w:style>
  <w:style w:type="paragraph" w:styleId="880">
    <w:name w:val="toc 6"/>
    <w:basedOn w:val="709"/>
    <w:next w:val="709"/>
    <w:uiPriority w:val="39"/>
    <w:unhideWhenUsed/>
    <w:pPr>
      <w:ind w:left="1417"/>
      <w:spacing w:after="57"/>
    </w:pPr>
  </w:style>
  <w:style w:type="paragraph" w:styleId="881">
    <w:name w:val="toc 7"/>
    <w:basedOn w:val="709"/>
    <w:next w:val="709"/>
    <w:uiPriority w:val="39"/>
    <w:unhideWhenUsed/>
    <w:pPr>
      <w:ind w:left="1701"/>
      <w:spacing w:after="57"/>
    </w:pPr>
  </w:style>
  <w:style w:type="paragraph" w:styleId="882">
    <w:name w:val="toc 8"/>
    <w:basedOn w:val="709"/>
    <w:next w:val="709"/>
    <w:uiPriority w:val="39"/>
    <w:unhideWhenUsed/>
    <w:pPr>
      <w:ind w:left="1984"/>
      <w:spacing w:after="57"/>
    </w:pPr>
  </w:style>
  <w:style w:type="paragraph" w:styleId="883">
    <w:name w:val="toc 9"/>
    <w:basedOn w:val="709"/>
    <w:next w:val="709"/>
    <w:uiPriority w:val="39"/>
    <w:unhideWhenUsed/>
    <w:pPr>
      <w:ind w:left="2268"/>
      <w:spacing w:after="57"/>
    </w:pPr>
  </w:style>
  <w:style w:type="paragraph" w:styleId="884">
    <w:name w:val="TOC Heading"/>
    <w:uiPriority w:val="39"/>
    <w:unhideWhenUsed/>
  </w:style>
  <w:style w:type="paragraph" w:styleId="885">
    <w:name w:val="table of figures"/>
    <w:basedOn w:val="709"/>
    <w:next w:val="709"/>
    <w:uiPriority w:val="99"/>
    <w:unhideWhenUsed/>
    <w:pPr>
      <w:spacing w:after="0"/>
    </w:pPr>
  </w:style>
  <w:style w:type="character" w:styleId="886">
    <w:name w:val="Hyperlink"/>
    <w:basedOn w:val="710"/>
    <w:uiPriority w:val="99"/>
    <w:unhideWhenUsed/>
    <w:rPr>
      <w:color w:val="0000ff" w:themeColor="hyperlink"/>
      <w:u w:val="single"/>
    </w:rPr>
  </w:style>
  <w:style w:type="paragraph" w:styleId="887">
    <w:name w:val="Balloon Text"/>
    <w:basedOn w:val="709"/>
    <w:link w:val="888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888" w:customStyle="1">
    <w:name w:val="Текст выноски Знак"/>
    <w:basedOn w:val="710"/>
    <w:link w:val="887"/>
    <w:uiPriority w:val="99"/>
    <w:semiHidden/>
    <w:rPr>
      <w:rFonts w:ascii="Tahoma" w:hAnsi="Tahoma" w:cs="Tahoma"/>
      <w:sz w:val="16"/>
      <w:szCs w:val="16"/>
    </w:rPr>
  </w:style>
  <w:style w:type="paragraph" w:styleId="889">
    <w:name w:val="List Paragraph"/>
    <w:basedOn w:val="709"/>
    <w:uiPriority w:val="34"/>
    <w:qFormat/>
    <w:pPr>
      <w:contextualSpacing/>
      <w:ind w:left="720"/>
    </w:pPr>
  </w:style>
  <w:style w:type="paragraph" w:styleId="890" w:customStyle="1">
    <w:name w:val="ConsPlusNonformat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891" w:customStyle="1">
    <w:name w:val="Header"/>
    <w:basedOn w:val="709"/>
    <w:link w:val="892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892" w:customStyle="1">
    <w:name w:val="Верхний колонтитул Знак"/>
    <w:basedOn w:val="710"/>
    <w:link w:val="891"/>
    <w:uiPriority w:val="99"/>
  </w:style>
  <w:style w:type="paragraph" w:styleId="893" w:customStyle="1">
    <w:name w:val="Footer"/>
    <w:basedOn w:val="709"/>
    <w:link w:val="894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894" w:customStyle="1">
    <w:name w:val="Нижний колонтитул Знак"/>
    <w:basedOn w:val="710"/>
    <w:link w:val="893"/>
    <w:uiPriority w:val="99"/>
  </w:style>
  <w:style w:type="table" w:styleId="895">
    <w:name w:val="Table Grid"/>
    <w:basedOn w:val="711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paragraph" w:styleId="896" w:customStyle="1">
    <w:name w:val="ConsPlusNormal"/>
    <w:pPr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customXml" Target="../customXml/item1.xml" /><Relationship Id="rId12" Type="http://schemas.openxmlformats.org/officeDocument/2006/relationships/hyperlink" Target="consultantplus://offline/ref=DC41E2772540CE89436B920E86BEF4F9345B73C5B114AE3A8765A72052AFVDF" TargetMode="External"/><Relationship Id="rId13" Type="http://schemas.openxmlformats.org/officeDocument/2006/relationships/hyperlink" Target="consultantplus://offline/ref=DC41E2772540CE89436B920E86BEF4F9345B73C5B114AE3A8765A72052AFVDF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A5BD852-EEA6-4F20-8E24-129E3366AF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Company>Департамент труда и занятости населения НСО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revision>34</cp:revision>
  <dcterms:created xsi:type="dcterms:W3CDTF">2019-12-25T04:15:00Z</dcterms:created>
  <dcterms:modified xsi:type="dcterms:W3CDTF">2025-01-20T05:28:02Z</dcterms:modified>
</cp:coreProperties>
</file>